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B852B" w14:textId="77777777" w:rsidR="002555D1" w:rsidRPr="00804B61" w:rsidRDefault="00FA2CC7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1C69056C" wp14:editId="0401B3CA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55D1" w:rsidRPr="00804B61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43F0AF1E" w14:textId="77777777" w:rsidR="002555D1" w:rsidRPr="00804B61" w:rsidRDefault="002555D1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804B61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037AEC57" w14:textId="77777777" w:rsidR="002555D1" w:rsidRPr="00804B61" w:rsidRDefault="002555D1" w:rsidP="00F41198">
      <w:pPr>
        <w:ind w:left="2007"/>
        <w:rPr>
          <w:color w:val="0000FF"/>
        </w:rPr>
      </w:pPr>
    </w:p>
    <w:p w14:paraId="1DC9824D" w14:textId="77777777" w:rsidR="002555D1" w:rsidRPr="00804B61" w:rsidRDefault="002555D1" w:rsidP="00404D4D">
      <w:pPr>
        <w:pStyle w:val="BodyTextIndent"/>
        <w:ind w:left="2007" w:firstLine="0"/>
        <w:outlineLvl w:val="0"/>
        <w:rPr>
          <w:rFonts w:ascii="Arial" w:hAnsi="Arial" w:cs="Arial"/>
          <w:color w:val="0000FF"/>
          <w:sz w:val="22"/>
          <w:szCs w:val="22"/>
        </w:rPr>
      </w:pPr>
      <w:r w:rsidRPr="00804B61">
        <w:rPr>
          <w:rFonts w:ascii="Arial" w:hAnsi="Arial" w:cs="Arial"/>
          <w:color w:val="0000FF"/>
          <w:sz w:val="22"/>
          <w:szCs w:val="22"/>
        </w:rPr>
        <w:t>Please try to keep related proposals within a single document.</w:t>
      </w:r>
    </w:p>
    <w:p w14:paraId="56987C65" w14:textId="77777777" w:rsidR="002555D1" w:rsidRPr="00804B61" w:rsidRDefault="002555D1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32E8FFEA" w14:textId="77777777" w:rsidR="002555D1" w:rsidRPr="00804B61" w:rsidRDefault="002555D1" w:rsidP="006D1B4E">
      <w:pPr>
        <w:rPr>
          <w:rFonts w:ascii="Arial" w:hAnsi="Arial" w:cs="Arial"/>
          <w:sz w:val="22"/>
          <w:szCs w:val="22"/>
          <w:lang w:val="en-GB"/>
        </w:rPr>
      </w:pPr>
    </w:p>
    <w:p w14:paraId="2FAE89F4" w14:textId="77777777" w:rsidR="002555D1" w:rsidRPr="00804B61" w:rsidRDefault="002555D1" w:rsidP="00404D4D">
      <w:pPr>
        <w:outlineLvl w:val="0"/>
        <w:rPr>
          <w:rFonts w:ascii="Arial" w:hAnsi="Arial" w:cs="Arial"/>
          <w:sz w:val="22"/>
          <w:szCs w:val="22"/>
          <w:lang w:val="en-GB"/>
        </w:rPr>
      </w:pPr>
      <w:r w:rsidRPr="00804B61">
        <w:rPr>
          <w:rFonts w:ascii="Arial" w:hAnsi="Arial" w:cs="Arial"/>
          <w:color w:val="000000"/>
          <w:sz w:val="20"/>
        </w:rPr>
        <w:t>Part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1: </w:t>
      </w:r>
      <w:r w:rsidRPr="00804B61">
        <w:rPr>
          <w:rFonts w:ascii="Arial" w:hAnsi="Arial" w:cs="Arial"/>
          <w:b/>
          <w:color w:val="000000"/>
          <w:sz w:val="22"/>
          <w:szCs w:val="22"/>
          <w:u w:val="single"/>
        </w:rPr>
        <w:t>TITLE, AUTHORS, etc</w:t>
      </w:r>
    </w:p>
    <w:p w14:paraId="55EF163A" w14:textId="77777777" w:rsidR="002555D1" w:rsidRPr="00804B61" w:rsidRDefault="002555D1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3064"/>
        <w:gridCol w:w="1394"/>
        <w:gridCol w:w="753"/>
        <w:gridCol w:w="575"/>
        <w:gridCol w:w="591"/>
        <w:gridCol w:w="3091"/>
      </w:tblGrid>
      <w:tr w:rsidR="002555D1" w:rsidRPr="00804B61" w14:paraId="7FD90BC3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0349EF0" w14:textId="77777777" w:rsidR="002555D1" w:rsidRPr="00804B61" w:rsidRDefault="002555D1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804B61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3E4C" w14:textId="70DA0EFA" w:rsidR="002555D1" w:rsidRPr="00804B61" w:rsidRDefault="00E33779" w:rsidP="00E33779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E33779">
              <w:rPr>
                <w:rFonts w:ascii="Times New Roman" w:hAnsi="Times New Roman"/>
                <w:b/>
                <w:i/>
                <w:sz w:val="36"/>
                <w:szCs w:val="36"/>
              </w:rPr>
              <w:t>2017.009P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FDCACAB" w14:textId="77777777" w:rsidR="002555D1" w:rsidRPr="00804B61" w:rsidRDefault="002555D1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804B61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2555D1" w:rsidRPr="00804B61" w14:paraId="0F5E6706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44A52A8E" w14:textId="77777777" w:rsidR="002555D1" w:rsidRPr="00804B61" w:rsidRDefault="002555D1" w:rsidP="006859A5">
            <w:pPr>
              <w:spacing w:before="120"/>
              <w:rPr>
                <w:b/>
              </w:rPr>
            </w:pPr>
            <w:r w:rsidRPr="00804B61">
              <w:rPr>
                <w:b/>
              </w:rPr>
              <w:t xml:space="preserve">Short title: </w:t>
            </w:r>
            <w:r w:rsidRPr="00804B61">
              <w:rPr>
                <w:rFonts w:ascii="Arial" w:hAnsi="Arial" w:cs="Arial"/>
                <w:color w:val="0000FF"/>
                <w:sz w:val="20"/>
              </w:rPr>
              <w:t xml:space="preserve">A new species in the genus </w:t>
            </w:r>
            <w:r w:rsidRPr="0073752D">
              <w:rPr>
                <w:rFonts w:ascii="Arial" w:hAnsi="Arial" w:cs="Arial"/>
                <w:i/>
                <w:color w:val="0000FF"/>
                <w:sz w:val="20"/>
              </w:rPr>
              <w:t>Turncurtovirus</w:t>
            </w:r>
          </w:p>
        </w:tc>
      </w:tr>
      <w:tr w:rsidR="002555D1" w:rsidRPr="00804B61" w14:paraId="7458554D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A31810" w14:textId="77777777" w:rsidR="002555D1" w:rsidRPr="00804B61" w:rsidRDefault="002555D1" w:rsidP="009845DD">
            <w:pPr>
              <w:rPr>
                <w:b/>
              </w:rPr>
            </w:pPr>
            <w:r w:rsidRPr="00804B61">
              <w:rPr>
                <w:b/>
              </w:rPr>
              <w:t xml:space="preserve">Modules attached </w:t>
            </w:r>
          </w:p>
          <w:p w14:paraId="12DEF136" w14:textId="77777777" w:rsidR="002555D1" w:rsidRPr="00804B61" w:rsidRDefault="002555D1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804B61">
              <w:rPr>
                <w:rFonts w:ascii="Arial" w:hAnsi="Arial" w:cs="Arial"/>
                <w:color w:val="0000FF"/>
                <w:sz w:val="20"/>
                <w:szCs w:val="20"/>
              </w:rPr>
              <w:t xml:space="preserve">(Modules 1, 4 and either 2 or 3 are required. </w:t>
            </w:r>
          </w:p>
          <w:p w14:paraId="0DD85E77" w14:textId="77777777" w:rsidR="002555D1" w:rsidRPr="00804B61" w:rsidRDefault="002555D1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0ACB766" w14:textId="77777777" w:rsidR="002555D1" w:rsidRPr="00804B61" w:rsidRDefault="002555D1" w:rsidP="00291213">
            <w:pPr>
              <w:rPr>
                <w:b/>
              </w:rPr>
            </w:pPr>
            <w:r w:rsidRPr="00804B61">
              <w:rPr>
                <w:b/>
              </w:rPr>
              <w:t xml:space="preserve">          1 </w:t>
            </w:r>
            <w:bookmarkStart w:id="0" w:name="Check2"/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F27D7">
              <w:rPr>
                <w:b/>
              </w:rPr>
            </w:r>
            <w:r w:rsidR="004F27D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804B61">
              <w:rPr>
                <w:b/>
              </w:rPr>
              <w:t xml:space="preserve">       </w:t>
            </w:r>
            <w:bookmarkEnd w:id="0"/>
            <w:r w:rsidRPr="00804B61">
              <w:rPr>
                <w:b/>
              </w:rPr>
              <w:t xml:space="preserve"> 2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F27D7">
              <w:rPr>
                <w:b/>
              </w:rPr>
            </w:r>
            <w:r w:rsidR="004F27D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804B61">
              <w:rPr>
                <w:b/>
              </w:rPr>
              <w:t xml:space="preserve">       3 </w:t>
            </w:r>
            <w:r w:rsidRPr="00804B6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4B61">
              <w:rPr>
                <w:b/>
              </w:rPr>
              <w:instrText xml:space="preserve"> FORMCHECKBOX </w:instrText>
            </w:r>
            <w:r w:rsidR="004F27D7">
              <w:rPr>
                <w:b/>
              </w:rPr>
            </w:r>
            <w:r w:rsidR="004F27D7">
              <w:rPr>
                <w:b/>
              </w:rPr>
              <w:fldChar w:fldCharType="separate"/>
            </w:r>
            <w:r w:rsidRPr="00804B61">
              <w:rPr>
                <w:b/>
              </w:rPr>
              <w:fldChar w:fldCharType="end"/>
            </w:r>
            <w:r w:rsidRPr="00804B61">
              <w:rPr>
                <w:b/>
              </w:rPr>
              <w:t xml:space="preserve">          4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F27D7">
              <w:rPr>
                <w:b/>
              </w:rPr>
            </w:r>
            <w:r w:rsidR="004F27D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804B61">
              <w:rPr>
                <w:b/>
              </w:rPr>
              <w:t xml:space="preserve">       </w:t>
            </w:r>
          </w:p>
          <w:p w14:paraId="3D04986D" w14:textId="77777777" w:rsidR="002555D1" w:rsidRPr="00804B61" w:rsidRDefault="002555D1" w:rsidP="004B5D02">
            <w:pPr>
              <w:rPr>
                <w:b/>
              </w:rPr>
            </w:pPr>
            <w:r w:rsidRPr="00804B61">
              <w:rPr>
                <w:b/>
              </w:rPr>
              <w:t xml:space="preserve">  </w:t>
            </w:r>
          </w:p>
        </w:tc>
      </w:tr>
      <w:tr w:rsidR="002555D1" w:rsidRPr="00804B61" w14:paraId="119B5A46" w14:textId="77777777">
        <w:tc>
          <w:tcPr>
            <w:tcW w:w="9468" w:type="dxa"/>
            <w:gridSpan w:val="6"/>
          </w:tcPr>
          <w:p w14:paraId="7BCD64A7" w14:textId="77777777" w:rsidR="002555D1" w:rsidRPr="00804B61" w:rsidRDefault="002555D1" w:rsidP="00CE5ECF">
            <w:pPr>
              <w:spacing w:before="120" w:after="120"/>
              <w:rPr>
                <w:b/>
              </w:rPr>
            </w:pPr>
            <w:r w:rsidRPr="00804B61">
              <w:rPr>
                <w:b/>
              </w:rPr>
              <w:t>Author(s):</w:t>
            </w:r>
          </w:p>
        </w:tc>
      </w:tr>
      <w:tr w:rsidR="002555D1" w:rsidRPr="00804B61" w14:paraId="101619B6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EFCC" w14:textId="74204A89" w:rsidR="002555D1" w:rsidRPr="00804B61" w:rsidRDefault="002555D1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804B61">
              <w:rPr>
                <w:rFonts w:ascii="Times New Roman" w:hAnsi="Times New Roman"/>
                <w:color w:val="000000"/>
              </w:rPr>
              <w:t>Arvind Varsani</w:t>
            </w:r>
            <w:r>
              <w:rPr>
                <w:rFonts w:ascii="Times New Roman" w:hAnsi="Times New Roman"/>
                <w:color w:val="000000"/>
              </w:rPr>
              <w:t xml:space="preserve"> and Darren</w:t>
            </w:r>
            <w:r w:rsidR="00F421F8">
              <w:rPr>
                <w:rFonts w:ascii="Times New Roman" w:hAnsi="Times New Roman"/>
                <w:color w:val="000000"/>
              </w:rPr>
              <w:t xml:space="preserve"> P.</w:t>
            </w:r>
            <w:r>
              <w:rPr>
                <w:rFonts w:ascii="Times New Roman" w:hAnsi="Times New Roman"/>
                <w:color w:val="000000"/>
              </w:rPr>
              <w:t xml:space="preserve"> Martin</w:t>
            </w:r>
          </w:p>
        </w:tc>
      </w:tr>
      <w:tr w:rsidR="002555D1" w:rsidRPr="00804B61" w14:paraId="035ECD03" w14:textId="77777777" w:rsidTr="003B1954">
        <w:tc>
          <w:tcPr>
            <w:tcW w:w="9468" w:type="dxa"/>
            <w:gridSpan w:val="6"/>
          </w:tcPr>
          <w:p w14:paraId="3AE5223A" w14:textId="77777777" w:rsidR="002555D1" w:rsidRPr="00804B61" w:rsidRDefault="002555D1" w:rsidP="00CE5ECF">
            <w:pPr>
              <w:spacing w:before="120" w:after="120"/>
              <w:rPr>
                <w:b/>
              </w:rPr>
            </w:pPr>
            <w:r w:rsidRPr="00804B61">
              <w:rPr>
                <w:b/>
              </w:rPr>
              <w:t>Corresponding author with e-mail address:</w:t>
            </w:r>
          </w:p>
        </w:tc>
      </w:tr>
      <w:tr w:rsidR="002555D1" w:rsidRPr="00804B61" w14:paraId="776F59B1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992" w14:textId="77777777" w:rsidR="002555D1" w:rsidRPr="00804B61" w:rsidRDefault="002555D1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804B61">
              <w:rPr>
                <w:rFonts w:ascii="Times New Roman" w:hAnsi="Times New Roman"/>
                <w:color w:val="000000"/>
              </w:rPr>
              <w:t>Arvind.varsani@asu.edu</w:t>
            </w:r>
          </w:p>
        </w:tc>
      </w:tr>
      <w:tr w:rsidR="002555D1" w:rsidRPr="00804B61" w14:paraId="361A9149" w14:textId="77777777">
        <w:tc>
          <w:tcPr>
            <w:tcW w:w="9468" w:type="dxa"/>
            <w:gridSpan w:val="6"/>
          </w:tcPr>
          <w:p w14:paraId="05D0CB79" w14:textId="77777777" w:rsidR="002555D1" w:rsidRPr="00804B61" w:rsidRDefault="002555D1" w:rsidP="00C15EC4">
            <w:pPr>
              <w:spacing w:before="120" w:after="120"/>
              <w:rPr>
                <w:b/>
              </w:rPr>
            </w:pPr>
            <w:r w:rsidRPr="00804B61">
              <w:rPr>
                <w:b/>
              </w:rPr>
              <w:t>List the ICTV study group(s) that have seen this proposal:</w:t>
            </w:r>
          </w:p>
        </w:tc>
      </w:tr>
      <w:tr w:rsidR="002555D1" w:rsidRPr="00804B61" w14:paraId="29A0B141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7D6E" w14:textId="77777777" w:rsidR="002555D1" w:rsidRPr="00804B61" w:rsidRDefault="002555D1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804B61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804B61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804B61"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AB9E" w14:textId="77777777" w:rsidR="002555D1" w:rsidRPr="00804B61" w:rsidRDefault="00D11E6D" w:rsidP="00C15EC4">
            <w:pPr>
              <w:jc w:val="both"/>
              <w:rPr>
                <w:b/>
              </w:rPr>
            </w:pPr>
            <w:r w:rsidRPr="00D11E6D">
              <w:rPr>
                <w:b/>
                <w:i/>
              </w:rPr>
              <w:t>Geminiviridae</w:t>
            </w:r>
            <w:r>
              <w:rPr>
                <w:b/>
              </w:rPr>
              <w:t xml:space="preserve"> SG</w:t>
            </w:r>
          </w:p>
        </w:tc>
      </w:tr>
      <w:tr w:rsidR="002555D1" w:rsidRPr="00804B61" w14:paraId="2AA3E9B3" w14:textId="77777777">
        <w:trPr>
          <w:tblHeader/>
        </w:trPr>
        <w:tc>
          <w:tcPr>
            <w:tcW w:w="9468" w:type="dxa"/>
            <w:gridSpan w:val="6"/>
          </w:tcPr>
          <w:p w14:paraId="14BCD0D3" w14:textId="77777777" w:rsidR="002555D1" w:rsidRPr="00804B61" w:rsidRDefault="002555D1" w:rsidP="00CE5ECF">
            <w:pPr>
              <w:spacing w:before="120" w:after="120"/>
              <w:rPr>
                <w:b/>
              </w:rPr>
            </w:pPr>
            <w:r w:rsidRPr="00804B61">
              <w:rPr>
                <w:b/>
              </w:rPr>
              <w:t>ICTV Study Group comments (if any) and response of the proposer:</w:t>
            </w:r>
          </w:p>
        </w:tc>
      </w:tr>
      <w:tr w:rsidR="002555D1" w:rsidRPr="00804B61" w14:paraId="2BDA3CBE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D493099" w14:textId="77777777" w:rsidR="002555D1" w:rsidRPr="00804B61" w:rsidRDefault="002555D1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804B61"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804B61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04B61">
              <w:rPr>
                <w:rFonts w:ascii="Times New Roman" w:hAnsi="Times New Roman"/>
                <w:color w:val="000000"/>
              </w:rPr>
            </w:r>
            <w:r w:rsidRPr="00804B61">
              <w:rPr>
                <w:rFonts w:ascii="Times New Roman" w:hAnsi="Times New Roman"/>
                <w:color w:val="000000"/>
              </w:rPr>
              <w:fldChar w:fldCharType="separate"/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2555D1" w:rsidRPr="00804B61" w14:paraId="6A35EAA6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6E5912DF" w14:textId="77777777" w:rsidR="002555D1" w:rsidRPr="00804B61" w:rsidRDefault="002555D1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2555D1" w:rsidRPr="00804B61" w14:paraId="4CA7A4DD" w14:textId="77777777" w:rsidTr="00C15EC4">
        <w:trPr>
          <w:trHeight w:val="270"/>
        </w:trPr>
        <w:tc>
          <w:tcPr>
            <w:tcW w:w="5786" w:type="dxa"/>
            <w:gridSpan w:val="4"/>
          </w:tcPr>
          <w:p w14:paraId="3177C30A" w14:textId="77777777" w:rsidR="002555D1" w:rsidRPr="00804B61" w:rsidRDefault="002555D1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804B61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5A821D37" w14:textId="77777777" w:rsidR="002555D1" w:rsidRPr="00804B61" w:rsidRDefault="002555D1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804B61"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804B61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04B61">
              <w:rPr>
                <w:rFonts w:ascii="Times New Roman" w:hAnsi="Times New Roman"/>
                <w:color w:val="000000"/>
              </w:rPr>
            </w:r>
            <w:r w:rsidRPr="00804B61">
              <w:rPr>
                <w:rFonts w:ascii="Times New Roman" w:hAnsi="Times New Roman"/>
                <w:color w:val="000000"/>
              </w:rPr>
              <w:fldChar w:fldCharType="separate"/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2555D1" w:rsidRPr="00804B61" w14:paraId="62465AA6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566CA2FA" w14:textId="77777777" w:rsidR="002555D1" w:rsidRPr="00804B61" w:rsidRDefault="002555D1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804B61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20B531DB" w14:textId="77777777" w:rsidR="002555D1" w:rsidRPr="00804B61" w:rsidRDefault="002555D1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804B61"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804B61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04B61">
              <w:rPr>
                <w:rFonts w:ascii="Times New Roman" w:hAnsi="Times New Roman"/>
                <w:color w:val="000000"/>
              </w:rPr>
            </w:r>
            <w:r w:rsidRPr="00804B61">
              <w:rPr>
                <w:rFonts w:ascii="Times New Roman" w:hAnsi="Times New Roman"/>
                <w:color w:val="000000"/>
              </w:rPr>
              <w:fldChar w:fldCharType="separate"/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noProof/>
                <w:color w:val="000000"/>
              </w:rPr>
              <w:t> </w:t>
            </w:r>
            <w:r w:rsidRPr="00804B61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40108612" w14:textId="77777777" w:rsidR="002555D1" w:rsidRPr="00804B61" w:rsidRDefault="002555D1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9468"/>
      </w:tblGrid>
      <w:tr w:rsidR="002555D1" w:rsidRPr="00804B61" w14:paraId="3656E518" w14:textId="77777777" w:rsidTr="003B1954">
        <w:tc>
          <w:tcPr>
            <w:tcW w:w="9468" w:type="dxa"/>
          </w:tcPr>
          <w:p w14:paraId="54F42C5E" w14:textId="77777777" w:rsidR="002555D1" w:rsidRPr="00804B61" w:rsidRDefault="002555D1" w:rsidP="00CE5ECF">
            <w:pPr>
              <w:spacing w:before="120" w:after="120"/>
              <w:rPr>
                <w:b/>
              </w:rPr>
            </w:pPr>
            <w:r w:rsidRPr="00804B61">
              <w:rPr>
                <w:b/>
              </w:rPr>
              <w:t>ICTV-EC comments and response of the proposer:</w:t>
            </w:r>
          </w:p>
        </w:tc>
      </w:tr>
      <w:tr w:rsidR="002555D1" w:rsidRPr="00804B61" w14:paraId="0DC29195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A67B" w14:textId="77777777" w:rsidR="002555D1" w:rsidRPr="00804B61" w:rsidRDefault="002555D1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804B6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4B61">
              <w:instrText xml:space="preserve"> FORMTEXT </w:instrText>
            </w:r>
            <w:r w:rsidRPr="00804B61">
              <w:fldChar w:fldCharType="separate"/>
            </w:r>
            <w:r w:rsidRPr="00804B61">
              <w:rPr>
                <w:noProof/>
              </w:rPr>
              <w:t> </w:t>
            </w:r>
            <w:r w:rsidRPr="00804B61">
              <w:rPr>
                <w:noProof/>
              </w:rPr>
              <w:t> </w:t>
            </w:r>
            <w:r w:rsidRPr="00804B61">
              <w:rPr>
                <w:noProof/>
              </w:rPr>
              <w:t> </w:t>
            </w:r>
            <w:r w:rsidRPr="00804B61">
              <w:rPr>
                <w:noProof/>
              </w:rPr>
              <w:t> </w:t>
            </w:r>
            <w:r w:rsidRPr="00804B61">
              <w:rPr>
                <w:noProof/>
              </w:rPr>
              <w:t> </w:t>
            </w:r>
            <w:r w:rsidRPr="00804B61">
              <w:fldChar w:fldCharType="end"/>
            </w:r>
          </w:p>
        </w:tc>
      </w:tr>
    </w:tbl>
    <w:p w14:paraId="7C57ACE2" w14:textId="77777777" w:rsidR="002555D1" w:rsidRPr="00804B61" w:rsidRDefault="002555D1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4A905D4D" w14:textId="77777777" w:rsidR="002555D1" w:rsidRPr="00804B61" w:rsidRDefault="002555D1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F582EE9" w14:textId="77777777" w:rsidR="002555D1" w:rsidRPr="00804B61" w:rsidRDefault="002555D1" w:rsidP="00404D4D">
      <w:pPr>
        <w:outlineLvl w:val="0"/>
        <w:rPr>
          <w:color w:val="000000"/>
          <w:sz w:val="22"/>
          <w:szCs w:val="22"/>
          <w:lang w:eastAsia="en-GB"/>
        </w:rPr>
      </w:pPr>
      <w:r w:rsidRPr="00804B61">
        <w:rPr>
          <w:rFonts w:ascii="Arial" w:hAnsi="Arial" w:cs="Arial"/>
          <w:b/>
          <w:color w:val="000000"/>
          <w:sz w:val="20"/>
        </w:rPr>
        <w:t>Part</w:t>
      </w:r>
      <w:r w:rsidRPr="00804B61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: </w:t>
      </w:r>
      <w:r w:rsidRPr="00804B61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2555D1" w:rsidRPr="00804B61" w14:paraId="1A08E121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150C759E" w14:textId="77777777" w:rsidR="002555D1" w:rsidRPr="00804B61" w:rsidRDefault="002555D1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 w:rsidRPr="00804B61"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2555D1" w:rsidRPr="00804B61" w14:paraId="6CF022D7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1B16157" w14:textId="7F6C92C7" w:rsidR="002555D1" w:rsidRPr="00804B61" w:rsidRDefault="002555D1" w:rsidP="00815659">
            <w:pPr>
              <w:spacing w:before="120"/>
              <w:rPr>
                <w:b/>
              </w:rPr>
            </w:pPr>
            <w:r w:rsidRPr="00804B61">
              <w:rPr>
                <w:b/>
              </w:rPr>
              <w:t xml:space="preserve">Name of accompanying spreadsheet: </w:t>
            </w:r>
            <w:r w:rsidR="00E33779" w:rsidRPr="00E33779">
              <w:t>2017.009P.N.v1.Turncurtovirus_sp</w:t>
            </w:r>
            <w:bookmarkStart w:id="1" w:name="_GoBack"/>
            <w:bookmarkEnd w:id="1"/>
          </w:p>
        </w:tc>
      </w:tr>
    </w:tbl>
    <w:p w14:paraId="537582F2" w14:textId="77777777" w:rsidR="002555D1" w:rsidRPr="00804B61" w:rsidRDefault="002555D1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804B61">
        <w:rPr>
          <w:rFonts w:ascii="Arial" w:hAnsi="Arial" w:cs="Arial"/>
          <w:color w:val="0000FF"/>
          <w:sz w:val="20"/>
        </w:rPr>
        <w:t>Please display the taxonomic changes you are proposing on the accompanying spreadsheet module 2017_TP_Template_Excel_module. Submit both this and the spreadsheet to the appropriate ICTV Subcommittee Chair.</w:t>
      </w:r>
    </w:p>
    <w:p w14:paraId="5E2D6D08" w14:textId="77777777" w:rsidR="002555D1" w:rsidRDefault="002555D1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44E8E226" w14:textId="77777777" w:rsidR="004F160A" w:rsidRPr="00804B61" w:rsidRDefault="004F160A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0FBCB40F" w14:textId="77777777" w:rsidR="002555D1" w:rsidRPr="00804B61" w:rsidRDefault="002555D1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554695B" w14:textId="77777777" w:rsidR="002555D1" w:rsidRPr="00804B61" w:rsidRDefault="002555D1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225AB3F5" w14:textId="77777777" w:rsidR="002555D1" w:rsidRPr="00804B61" w:rsidRDefault="002555D1" w:rsidP="00404D4D">
      <w:pPr>
        <w:pStyle w:val="BodyTextIndent"/>
        <w:spacing w:after="120"/>
        <w:ind w:left="0" w:firstLine="0"/>
        <w:outlineLvl w:val="0"/>
        <w:rPr>
          <w:rFonts w:ascii="Arial" w:hAnsi="Arial" w:cs="Arial"/>
          <w:color w:val="000000"/>
          <w:sz w:val="20"/>
        </w:rPr>
      </w:pPr>
      <w:r w:rsidRPr="00804B61">
        <w:rPr>
          <w:rFonts w:ascii="Arial" w:hAnsi="Arial" w:cs="Arial"/>
          <w:b/>
          <w:color w:val="000000"/>
          <w:sz w:val="20"/>
        </w:rPr>
        <w:lastRenderedPageBreak/>
        <w:t>Part 3</w:t>
      </w:r>
      <w:r w:rsidRPr="00804B61">
        <w:rPr>
          <w:rFonts w:ascii="Arial" w:hAnsi="Arial" w:cs="Arial"/>
          <w:b/>
          <w:color w:val="000000"/>
          <w:sz w:val="22"/>
          <w:szCs w:val="22"/>
        </w:rPr>
        <w:t>: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</w:t>
      </w:r>
      <w:r w:rsidRPr="00804B61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0CB68710" w14:textId="77777777" w:rsidR="002555D1" w:rsidRPr="00804B61" w:rsidRDefault="002555D1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804B61">
        <w:rPr>
          <w:rFonts w:ascii="Arial" w:hAnsi="Arial" w:cs="Arial"/>
          <w:color w:val="0000FF"/>
          <w:sz w:val="20"/>
        </w:rPr>
        <w:t xml:space="preserve">Template for any proposal regarding ICTV procedures, rules or policy, </w:t>
      </w:r>
      <w:r w:rsidRPr="00804B61">
        <w:rPr>
          <w:rFonts w:ascii="Arial" w:hAnsi="Arial" w:cs="Arial"/>
          <w:color w:val="0000FF"/>
          <w:sz w:val="20"/>
          <w:u w:val="single"/>
        </w:rPr>
        <w:t>not</w:t>
      </w:r>
      <w:r w:rsidRPr="00804B61">
        <w:rPr>
          <w:rFonts w:ascii="Arial" w:hAnsi="Arial" w:cs="Arial"/>
          <w:color w:val="0000FF"/>
          <w:sz w:val="20"/>
        </w:rPr>
        <w:t xml:space="preserve"> involving the creation of new taxonomy. </w:t>
      </w:r>
    </w:p>
    <w:p w14:paraId="5168281C" w14:textId="77777777" w:rsidR="002555D1" w:rsidRPr="00804B61" w:rsidRDefault="002555D1" w:rsidP="00034DE5">
      <w:pPr>
        <w:pStyle w:val="BodyTextIndent"/>
        <w:ind w:left="0" w:firstLine="0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2555D1" w:rsidRPr="00804B61" w14:paraId="20A0C567" w14:textId="77777777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23D795F6" w14:textId="77777777" w:rsidR="002555D1" w:rsidRPr="00804B61" w:rsidRDefault="002555D1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804B61">
              <w:rPr>
                <w:rFonts w:ascii="Times New Roman" w:hAnsi="Times New Roman"/>
                <w:color w:val="999999"/>
              </w:rPr>
              <w:t>non-standard proposal</w:t>
            </w:r>
          </w:p>
        </w:tc>
      </w:tr>
      <w:tr w:rsidR="002555D1" w:rsidRPr="00804B61" w14:paraId="6D3E9CEE" w14:textId="77777777"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C1BB63" w14:textId="77777777" w:rsidR="002555D1" w:rsidRPr="00804B61" w:rsidRDefault="002555D1" w:rsidP="00DE3E25">
            <w:pPr>
              <w:spacing w:before="120" w:after="120"/>
              <w:rPr>
                <w:b/>
              </w:rPr>
            </w:pPr>
            <w:r w:rsidRPr="00804B61">
              <w:rPr>
                <w:b/>
              </w:rPr>
              <w:t xml:space="preserve">Title of proposal: </w:t>
            </w:r>
          </w:p>
        </w:tc>
      </w:tr>
      <w:tr w:rsidR="002555D1" w:rsidRPr="00804B61" w14:paraId="140EFB6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9468" w:type="dxa"/>
          </w:tcPr>
          <w:p w14:paraId="161739BE" w14:textId="77777777" w:rsidR="002555D1" w:rsidRPr="00804B61" w:rsidRDefault="002555D1" w:rsidP="00A11ACF">
            <w:pPr>
              <w:spacing w:before="120" w:after="120"/>
              <w:rPr>
                <w:b/>
              </w:rPr>
            </w:pPr>
            <w:r w:rsidRPr="00804B61">
              <w:rPr>
                <w:b/>
              </w:rPr>
              <w:t>Text of proposal:</w:t>
            </w:r>
          </w:p>
        </w:tc>
      </w:tr>
      <w:tr w:rsidR="002555D1" w:rsidRPr="00804B61" w14:paraId="6297FDDE" w14:textId="77777777" w:rsidTr="004F23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D0506D" w14:textId="77777777" w:rsidR="002555D1" w:rsidRPr="00804B61" w:rsidRDefault="002555D1" w:rsidP="00D87539">
            <w:pPr>
              <w:rPr>
                <w:rFonts w:ascii="Calibri" w:hAnsi="Calibri"/>
              </w:rPr>
            </w:pPr>
          </w:p>
          <w:p w14:paraId="5BAA388B" w14:textId="77777777" w:rsidR="002555D1" w:rsidRPr="00804B61" w:rsidRDefault="002555D1" w:rsidP="00D87539">
            <w:pPr>
              <w:rPr>
                <w:rFonts w:ascii="Calibri" w:hAnsi="Calibri"/>
                <w:color w:val="000000"/>
              </w:rPr>
            </w:pPr>
          </w:p>
          <w:p w14:paraId="2C480942" w14:textId="77777777" w:rsidR="002555D1" w:rsidRPr="00804B61" w:rsidRDefault="002555D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7BF32621" w14:textId="77777777" w:rsidR="002555D1" w:rsidRPr="00804B61" w:rsidRDefault="002555D1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A0AC330" w14:textId="77777777" w:rsidR="002555D1" w:rsidRPr="00804B61" w:rsidRDefault="002555D1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9EEE460" w14:textId="77777777" w:rsidR="002555D1" w:rsidRPr="00804B61" w:rsidRDefault="002555D1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CBC0BD7" w14:textId="77777777" w:rsidR="002555D1" w:rsidRPr="00804B61" w:rsidRDefault="002555D1" w:rsidP="00404D4D">
      <w:pPr>
        <w:pStyle w:val="BodyTextIndent"/>
        <w:ind w:left="0" w:firstLine="0"/>
        <w:outlineLvl w:val="0"/>
        <w:rPr>
          <w:rFonts w:ascii="Arial" w:hAnsi="Arial" w:cs="Arial"/>
          <w:color w:val="000000"/>
          <w:sz w:val="22"/>
          <w:szCs w:val="22"/>
        </w:rPr>
      </w:pPr>
      <w:r w:rsidRPr="00804B61">
        <w:rPr>
          <w:rFonts w:ascii="Arial" w:hAnsi="Arial" w:cs="Arial"/>
          <w:b/>
          <w:color w:val="000000"/>
          <w:sz w:val="20"/>
        </w:rPr>
        <w:t>Part</w:t>
      </w:r>
      <w:r w:rsidRPr="00804B61">
        <w:rPr>
          <w:rFonts w:ascii="Arial" w:hAnsi="Arial" w:cs="Arial"/>
          <w:b/>
          <w:color w:val="000000"/>
          <w:sz w:val="22"/>
          <w:szCs w:val="22"/>
        </w:rPr>
        <w:t xml:space="preserve"> 4: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</w:t>
      </w:r>
      <w:r w:rsidRPr="00804B61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Pr="00804B61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421EA2B8" w14:textId="68CBE3D3" w:rsidR="006B77CE" w:rsidRDefault="002555D1" w:rsidP="006B77CE">
      <w:pPr>
        <w:rPr>
          <w:rFonts w:ascii="Arial" w:hAnsi="Arial" w:cs="Arial"/>
          <w:color w:val="000000"/>
          <w:sz w:val="22"/>
          <w:szCs w:val="22"/>
        </w:rPr>
      </w:pPr>
      <w:r w:rsidRPr="00804B61">
        <w:rPr>
          <w:rFonts w:ascii="Arial" w:hAnsi="Arial" w:cs="Arial"/>
          <w:color w:val="000000"/>
          <w:sz w:val="22"/>
          <w:szCs w:val="22"/>
        </w:rPr>
        <w:t xml:space="preserve">The genus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Turncurtovirus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in the family </w:t>
      </w:r>
      <w:r w:rsidRPr="006B77CE">
        <w:rPr>
          <w:rFonts w:ascii="Arial" w:hAnsi="Arial" w:cs="Arial"/>
          <w:i/>
          <w:color w:val="000000"/>
          <w:sz w:val="22"/>
          <w:szCs w:val="22"/>
        </w:rPr>
        <w:t>Geminivir</w:t>
      </w:r>
      <w:r w:rsidR="00D11E6D" w:rsidRPr="006B77CE">
        <w:rPr>
          <w:rFonts w:ascii="Arial" w:hAnsi="Arial" w:cs="Arial"/>
          <w:i/>
          <w:color w:val="000000"/>
          <w:sz w:val="22"/>
          <w:szCs w:val="22"/>
        </w:rPr>
        <w:t>i</w:t>
      </w:r>
      <w:r w:rsidRPr="006B77CE">
        <w:rPr>
          <w:rFonts w:ascii="Arial" w:hAnsi="Arial" w:cs="Arial"/>
          <w:i/>
          <w:color w:val="000000"/>
          <w:sz w:val="22"/>
          <w:szCs w:val="22"/>
        </w:rPr>
        <w:t>dae</w:t>
      </w:r>
      <w:r w:rsidRPr="006B77CE">
        <w:rPr>
          <w:rFonts w:ascii="Arial" w:hAnsi="Arial" w:cs="Arial"/>
          <w:color w:val="000000"/>
          <w:sz w:val="22"/>
          <w:szCs w:val="22"/>
        </w:rPr>
        <w:t xml:space="preserve"> currently has one species, </w:t>
      </w:r>
      <w:r w:rsidRPr="006B77CE">
        <w:rPr>
          <w:rFonts w:ascii="Arial" w:hAnsi="Arial" w:cs="Arial"/>
          <w:i/>
          <w:color w:val="000000"/>
          <w:sz w:val="22"/>
          <w:szCs w:val="22"/>
        </w:rPr>
        <w:t xml:space="preserve">Turnip curly top virus </w:t>
      </w:r>
      <w:r w:rsidRPr="006B77CE">
        <w:rPr>
          <w:rFonts w:ascii="Arial" w:hAnsi="Arial" w:cs="Arial"/>
          <w:color w:val="000000"/>
          <w:sz w:val="22"/>
          <w:szCs w:val="22"/>
        </w:rPr>
        <w:t xml:space="preserve">(Varsani et al., 2014). </w:t>
      </w:r>
      <w:r w:rsidR="00054AD8">
        <w:rPr>
          <w:rFonts w:ascii="Arial" w:hAnsi="Arial" w:cs="Arial"/>
          <w:color w:val="000000"/>
          <w:sz w:val="22"/>
          <w:szCs w:val="22"/>
        </w:rPr>
        <w:t>Hence,</w:t>
      </w:r>
      <w:r w:rsidR="0048343F" w:rsidRPr="006B77CE">
        <w:rPr>
          <w:rFonts w:ascii="Arial" w:hAnsi="Arial" w:cs="Arial"/>
          <w:color w:val="000000"/>
          <w:sz w:val="22"/>
          <w:szCs w:val="22"/>
        </w:rPr>
        <w:t xml:space="preserve"> </w:t>
      </w:r>
      <w:r w:rsidR="00054AD8">
        <w:rPr>
          <w:rFonts w:ascii="Arial" w:hAnsi="Arial" w:cs="Arial"/>
          <w:color w:val="000000"/>
          <w:sz w:val="22"/>
          <w:szCs w:val="22"/>
        </w:rPr>
        <w:t>currently,</w:t>
      </w:r>
      <w:r w:rsidR="0048343F" w:rsidRPr="006B77CE">
        <w:rPr>
          <w:rFonts w:ascii="Arial" w:hAnsi="Arial" w:cs="Arial"/>
          <w:color w:val="000000"/>
          <w:sz w:val="22"/>
          <w:szCs w:val="22"/>
        </w:rPr>
        <w:t xml:space="preserve"> there </w:t>
      </w:r>
      <w:r w:rsidR="00054AD8">
        <w:rPr>
          <w:rFonts w:ascii="Arial" w:hAnsi="Arial" w:cs="Arial"/>
          <w:color w:val="000000"/>
          <w:sz w:val="22"/>
          <w:szCs w:val="22"/>
        </w:rPr>
        <w:t>is</w:t>
      </w:r>
      <w:r w:rsidR="0048343F" w:rsidRPr="006B77CE">
        <w:rPr>
          <w:rFonts w:ascii="Arial" w:hAnsi="Arial" w:cs="Arial"/>
          <w:color w:val="000000"/>
          <w:sz w:val="22"/>
          <w:szCs w:val="22"/>
        </w:rPr>
        <w:t xml:space="preserve"> no official species demarcation criteria </w:t>
      </w:r>
      <w:r w:rsidR="00054AD8">
        <w:rPr>
          <w:rFonts w:ascii="Arial" w:hAnsi="Arial" w:cs="Arial"/>
          <w:color w:val="000000"/>
          <w:sz w:val="22"/>
          <w:szCs w:val="22"/>
        </w:rPr>
        <w:t>for this</w:t>
      </w:r>
      <w:r w:rsidR="0048343F" w:rsidRPr="006B77CE">
        <w:rPr>
          <w:rFonts w:ascii="Arial" w:hAnsi="Arial" w:cs="Arial"/>
          <w:color w:val="000000"/>
          <w:sz w:val="22"/>
          <w:szCs w:val="22"/>
        </w:rPr>
        <w:t xml:space="preserve"> genus. </w:t>
      </w:r>
      <w:r w:rsidR="006B77CE">
        <w:rPr>
          <w:rFonts w:ascii="Arial" w:hAnsi="Arial" w:cs="Arial"/>
          <w:color w:val="000000"/>
          <w:sz w:val="22"/>
          <w:szCs w:val="22"/>
        </w:rPr>
        <w:t>Accordingly, we propose</w:t>
      </w:r>
      <w:r w:rsidR="0048343F" w:rsidRPr="006B77CE">
        <w:rPr>
          <w:rFonts w:ascii="Arial" w:hAnsi="Arial" w:cs="Arial"/>
          <w:color w:val="000000"/>
          <w:sz w:val="22"/>
          <w:szCs w:val="22"/>
        </w:rPr>
        <w:t xml:space="preserve"> </w:t>
      </w:r>
      <w:r w:rsidR="00054AD8">
        <w:rPr>
          <w:rFonts w:ascii="Arial" w:hAnsi="Arial" w:cs="Arial"/>
          <w:color w:val="000000"/>
          <w:sz w:val="22"/>
          <w:szCs w:val="22"/>
        </w:rPr>
        <w:t xml:space="preserve">to </w:t>
      </w:r>
      <w:r w:rsidR="0048343F" w:rsidRPr="006B77CE">
        <w:rPr>
          <w:rFonts w:ascii="Arial" w:hAnsi="Arial" w:cs="Arial"/>
          <w:color w:val="000000"/>
          <w:sz w:val="22"/>
          <w:szCs w:val="22"/>
        </w:rPr>
        <w:t>establish</w:t>
      </w:r>
      <w:r w:rsidR="006B77CE">
        <w:rPr>
          <w:rFonts w:ascii="Arial" w:hAnsi="Arial" w:cs="Arial"/>
          <w:color w:val="000000"/>
          <w:sz w:val="22"/>
          <w:szCs w:val="22"/>
        </w:rPr>
        <w:t xml:space="preserve">ment </w:t>
      </w:r>
      <w:r w:rsidR="0048343F" w:rsidRPr="006B77CE">
        <w:rPr>
          <w:rFonts w:ascii="Arial" w:hAnsi="Arial" w:cs="Arial"/>
          <w:color w:val="000000"/>
          <w:sz w:val="22"/>
          <w:szCs w:val="22"/>
        </w:rPr>
        <w:t xml:space="preserve">an official </w:t>
      </w:r>
      <w:r w:rsidR="006B77CE">
        <w:rPr>
          <w:rFonts w:ascii="Arial" w:hAnsi="Arial" w:cs="Arial"/>
          <w:color w:val="000000"/>
          <w:sz w:val="22"/>
          <w:szCs w:val="22"/>
        </w:rPr>
        <w:t xml:space="preserve">species demarcation </w:t>
      </w:r>
      <w:r w:rsidR="0048343F" w:rsidRPr="006B77CE">
        <w:rPr>
          <w:rFonts w:ascii="Arial" w:hAnsi="Arial" w:cs="Arial"/>
          <w:color w:val="000000"/>
          <w:sz w:val="22"/>
          <w:szCs w:val="22"/>
        </w:rPr>
        <w:t>criterion</w:t>
      </w:r>
      <w:r w:rsidR="006B77CE">
        <w:rPr>
          <w:rFonts w:ascii="Arial" w:hAnsi="Arial" w:cs="Arial"/>
          <w:color w:val="000000"/>
          <w:sz w:val="22"/>
          <w:szCs w:val="22"/>
        </w:rPr>
        <w:t xml:space="preserve"> of less than 80% genome-wide nucleotide sequence between isolates of distinct turncurtovirus species.  Formal establishment of such </w:t>
      </w:r>
      <w:r w:rsidR="00094DB8">
        <w:rPr>
          <w:rFonts w:ascii="Arial" w:hAnsi="Arial" w:cs="Arial"/>
          <w:color w:val="000000"/>
          <w:sz w:val="22"/>
          <w:szCs w:val="22"/>
        </w:rPr>
        <w:t>metrics will</w:t>
      </w:r>
      <w:r w:rsidR="006B77CE">
        <w:rPr>
          <w:rFonts w:ascii="Arial" w:hAnsi="Arial" w:cs="Arial"/>
          <w:color w:val="000000"/>
          <w:sz w:val="22"/>
          <w:szCs w:val="22"/>
        </w:rPr>
        <w:t xml:space="preserve"> allow classification of growing number of sequence-based data on these viruses. </w:t>
      </w:r>
    </w:p>
    <w:p w14:paraId="1209AB34" w14:textId="77777777" w:rsidR="006B77CE" w:rsidRDefault="006B77CE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51F3690" w14:textId="447DB000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04B61">
        <w:rPr>
          <w:rFonts w:ascii="Arial" w:hAnsi="Arial" w:cs="Arial"/>
          <w:color w:val="000000"/>
          <w:sz w:val="22"/>
          <w:szCs w:val="22"/>
        </w:rPr>
        <w:t>Isol</w:t>
      </w:r>
      <w:r w:rsidR="004E74DA">
        <w:rPr>
          <w:rFonts w:ascii="Arial" w:hAnsi="Arial" w:cs="Arial"/>
          <w:color w:val="000000"/>
          <w:sz w:val="22"/>
          <w:szCs w:val="22"/>
        </w:rPr>
        <w:t xml:space="preserve">ates of turnip curly top virus (TCTV; 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Table 1) have been identified in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Beta vulgaris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(n=2),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Brassica rapa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(n=25),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Lactuca sativa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(n=1),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Ocimum basilicum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(n=1) and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Raphanus sativus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(n=2) (Kamali et al., 2015). </w:t>
      </w:r>
      <w:r w:rsidR="00485048">
        <w:rPr>
          <w:rFonts w:ascii="Arial" w:hAnsi="Arial" w:cs="Arial"/>
          <w:color w:val="000000"/>
          <w:sz w:val="22"/>
          <w:szCs w:val="22"/>
        </w:rPr>
        <w:t>In addition to these, two TCTVs have been identified in leafho</w:t>
      </w:r>
      <w:r w:rsidR="00094DB8">
        <w:rPr>
          <w:rFonts w:ascii="Arial" w:hAnsi="Arial" w:cs="Arial"/>
          <w:color w:val="000000"/>
          <w:sz w:val="22"/>
          <w:szCs w:val="22"/>
        </w:rPr>
        <w:t>p</w:t>
      </w:r>
      <w:r w:rsidR="00485048">
        <w:rPr>
          <w:rFonts w:ascii="Arial" w:hAnsi="Arial" w:cs="Arial"/>
          <w:color w:val="000000"/>
          <w:sz w:val="22"/>
          <w:szCs w:val="22"/>
        </w:rPr>
        <w:t xml:space="preserve">pers (Kamali et al., 2017). 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These </w:t>
      </w:r>
      <w:r w:rsidR="00485048">
        <w:rPr>
          <w:rFonts w:ascii="Arial" w:hAnsi="Arial" w:cs="Arial"/>
          <w:color w:val="000000"/>
          <w:sz w:val="22"/>
          <w:szCs w:val="22"/>
        </w:rPr>
        <w:t>34</w:t>
      </w:r>
      <w:r w:rsidR="00485048" w:rsidRPr="00804B61">
        <w:rPr>
          <w:rFonts w:ascii="Arial" w:hAnsi="Arial" w:cs="Arial"/>
          <w:color w:val="000000"/>
          <w:sz w:val="22"/>
          <w:szCs w:val="22"/>
        </w:rPr>
        <w:t xml:space="preserve"> </w:t>
      </w:r>
      <w:r w:rsidRPr="00804B61">
        <w:rPr>
          <w:rFonts w:ascii="Arial" w:hAnsi="Arial" w:cs="Arial"/>
          <w:color w:val="000000"/>
          <w:sz w:val="22"/>
          <w:szCs w:val="22"/>
        </w:rPr>
        <w:t>isolates share &gt;83% pairwise identity</w:t>
      </w:r>
      <w:r>
        <w:rPr>
          <w:rFonts w:ascii="Arial" w:hAnsi="Arial" w:cs="Arial"/>
          <w:color w:val="000000"/>
          <w:sz w:val="22"/>
          <w:szCs w:val="22"/>
        </w:rPr>
        <w:t xml:space="preserve"> with one another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97CE4BE" w14:textId="77777777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76009DD" w14:textId="6A0EA3F2" w:rsidR="002555D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04B61">
        <w:rPr>
          <w:rFonts w:ascii="Arial" w:hAnsi="Arial" w:cs="Arial"/>
          <w:color w:val="000000"/>
          <w:sz w:val="22"/>
          <w:szCs w:val="22"/>
        </w:rPr>
        <w:t xml:space="preserve">A group of viruses (n=13) that share &lt;80% identity with turnip curly top viruses were identified from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Beta vulgaris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(n=3),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Brassica rapa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(n=7) and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Lactuca sativa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(n=3) (Table 1). Genome-wide pairwise </w:t>
      </w:r>
      <w:r>
        <w:rPr>
          <w:rFonts w:ascii="Arial" w:hAnsi="Arial" w:cs="Arial"/>
          <w:color w:val="000000"/>
          <w:sz w:val="22"/>
          <w:szCs w:val="22"/>
        </w:rPr>
        <w:t xml:space="preserve">comparisons </w:t>
      </w:r>
      <w:r w:rsidRPr="00804B61">
        <w:rPr>
          <w:rFonts w:ascii="Arial" w:hAnsi="Arial" w:cs="Arial"/>
          <w:color w:val="000000"/>
          <w:sz w:val="22"/>
          <w:szCs w:val="22"/>
        </w:rPr>
        <w:t>of these 13 virus</w:t>
      </w:r>
      <w:r w:rsidR="004E74DA">
        <w:rPr>
          <w:rFonts w:ascii="Arial" w:hAnsi="Arial" w:cs="Arial"/>
          <w:color w:val="000000"/>
          <w:sz w:val="22"/>
          <w:szCs w:val="22"/>
        </w:rPr>
        <w:t xml:space="preserve">es with </w:t>
      </w:r>
      <w:r w:rsidR="00C92E8C">
        <w:rPr>
          <w:rFonts w:ascii="Arial" w:hAnsi="Arial" w:cs="Arial"/>
          <w:color w:val="000000"/>
          <w:sz w:val="22"/>
          <w:szCs w:val="22"/>
        </w:rPr>
        <w:t>TCTV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indicates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a trough</w:t>
      </w:r>
      <w:r>
        <w:rPr>
          <w:rFonts w:ascii="Arial" w:hAnsi="Arial" w:cs="Arial"/>
          <w:color w:val="000000"/>
          <w:sz w:val="22"/>
          <w:szCs w:val="22"/>
        </w:rPr>
        <w:t xml:space="preserve"> of pairwise identity values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between 81 and 82% (Figure 1). Based on th</w:t>
      </w:r>
      <w:r w:rsidR="000711D1">
        <w:rPr>
          <w:rFonts w:ascii="Arial" w:hAnsi="Arial" w:cs="Arial"/>
          <w:color w:val="000000"/>
          <w:sz w:val="22"/>
          <w:szCs w:val="22"/>
        </w:rPr>
        <w:t>ese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analys</w:t>
      </w:r>
      <w:r w:rsidR="000711D1">
        <w:rPr>
          <w:rFonts w:ascii="Arial" w:hAnsi="Arial" w:cs="Arial"/>
          <w:color w:val="000000"/>
          <w:sz w:val="22"/>
          <w:szCs w:val="22"/>
        </w:rPr>
        <w:t>e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s and coupled with phylogenetic support (Figure 2) </w:t>
      </w:r>
      <w:r>
        <w:rPr>
          <w:rFonts w:ascii="Arial" w:hAnsi="Arial" w:cs="Arial"/>
          <w:color w:val="000000"/>
          <w:sz w:val="22"/>
          <w:szCs w:val="22"/>
        </w:rPr>
        <w:t xml:space="preserve">for </w:t>
      </w:r>
      <w:r w:rsidR="009971AB">
        <w:rPr>
          <w:rFonts w:ascii="Arial" w:hAnsi="Arial" w:cs="Arial"/>
          <w:color w:val="000000"/>
          <w:sz w:val="22"/>
          <w:szCs w:val="22"/>
        </w:rPr>
        <w:t>two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04B61">
        <w:rPr>
          <w:rFonts w:ascii="Arial" w:hAnsi="Arial" w:cs="Arial"/>
          <w:color w:val="000000"/>
          <w:sz w:val="22"/>
          <w:szCs w:val="22"/>
        </w:rPr>
        <w:t>distinct cluster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, it is proposed that turncurtoviruses sharing less than 80% pairwise identity to </w:t>
      </w:r>
      <w:r>
        <w:rPr>
          <w:rFonts w:ascii="Arial" w:hAnsi="Arial" w:cs="Arial"/>
          <w:color w:val="000000"/>
          <w:sz w:val="22"/>
          <w:szCs w:val="22"/>
        </w:rPr>
        <w:t xml:space="preserve">other </w:t>
      </w:r>
      <w:r w:rsidRPr="00804B61">
        <w:rPr>
          <w:rFonts w:ascii="Arial" w:hAnsi="Arial" w:cs="Arial"/>
          <w:color w:val="000000"/>
          <w:sz w:val="22"/>
          <w:szCs w:val="22"/>
        </w:rPr>
        <w:t>known turncurtoviruses be considered new species. Therefore, the 13 viruses</w:t>
      </w:r>
      <w:r w:rsidR="00485048">
        <w:rPr>
          <w:rFonts w:ascii="Arial" w:hAnsi="Arial" w:cs="Arial"/>
          <w:color w:val="000000"/>
          <w:sz w:val="22"/>
          <w:szCs w:val="22"/>
        </w:rPr>
        <w:t xml:space="preserve"> (Figure</w:t>
      </w:r>
      <w:r w:rsidR="00F577DE">
        <w:rPr>
          <w:rFonts w:ascii="Arial" w:hAnsi="Arial" w:cs="Arial"/>
          <w:color w:val="000000"/>
          <w:sz w:val="22"/>
          <w:szCs w:val="22"/>
        </w:rPr>
        <w:t>s</w:t>
      </w:r>
      <w:r w:rsidR="00485048">
        <w:rPr>
          <w:rFonts w:ascii="Arial" w:hAnsi="Arial" w:cs="Arial"/>
          <w:color w:val="000000"/>
          <w:sz w:val="22"/>
          <w:szCs w:val="22"/>
        </w:rPr>
        <w:t xml:space="preserve"> 2 and 3)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identified in Kamali et al. (2015) </w:t>
      </w:r>
      <w:r>
        <w:rPr>
          <w:rFonts w:ascii="Arial" w:hAnsi="Arial" w:cs="Arial"/>
          <w:color w:val="000000"/>
          <w:sz w:val="22"/>
          <w:szCs w:val="22"/>
        </w:rPr>
        <w:t xml:space="preserve">should 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be considered members of a new species, </w:t>
      </w:r>
      <w:r w:rsidRPr="00804B61">
        <w:rPr>
          <w:rFonts w:ascii="Arial" w:hAnsi="Arial" w:cs="Arial"/>
          <w:i/>
          <w:color w:val="000000"/>
          <w:sz w:val="22"/>
          <w:szCs w:val="22"/>
        </w:rPr>
        <w:t>Turnip leaf roll virus</w:t>
      </w:r>
      <w:r w:rsidR="00094DB8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094DB8" w:rsidRPr="00054AD8">
        <w:rPr>
          <w:rFonts w:ascii="Arial" w:hAnsi="Arial" w:cs="Arial"/>
          <w:color w:val="000000"/>
          <w:sz w:val="22"/>
          <w:szCs w:val="22"/>
        </w:rPr>
        <w:t>according to the proposed criterion</w:t>
      </w:r>
      <w:r w:rsidRPr="00804B61">
        <w:rPr>
          <w:rFonts w:ascii="Arial" w:hAnsi="Arial" w:cs="Arial"/>
          <w:color w:val="000000"/>
          <w:sz w:val="22"/>
          <w:szCs w:val="22"/>
        </w:rPr>
        <w:t>.</w:t>
      </w:r>
      <w:r w:rsidR="00094DB8">
        <w:rPr>
          <w:rFonts w:ascii="Arial" w:hAnsi="Arial" w:cs="Arial"/>
          <w:color w:val="000000"/>
          <w:sz w:val="22"/>
          <w:szCs w:val="22"/>
        </w:rPr>
        <w:t xml:space="preserve"> Furthermore, 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</w:t>
      </w:r>
      <w:r w:rsidR="00094DB8">
        <w:rPr>
          <w:rFonts w:ascii="Arial" w:hAnsi="Arial" w:cs="Arial"/>
          <w:color w:val="000000"/>
          <w:sz w:val="22"/>
          <w:szCs w:val="22"/>
        </w:rPr>
        <w:t>t</w:t>
      </w:r>
      <w:r w:rsidRPr="00804B61">
        <w:rPr>
          <w:rFonts w:ascii="Arial" w:hAnsi="Arial" w:cs="Arial"/>
          <w:color w:val="000000"/>
          <w:sz w:val="22"/>
          <w:szCs w:val="22"/>
        </w:rPr>
        <w:t>his classification aligns with the recommendation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set out in Varsani et al. (2014).</w:t>
      </w:r>
    </w:p>
    <w:p w14:paraId="573AB381" w14:textId="77777777" w:rsidR="004F160A" w:rsidRPr="00804B61" w:rsidRDefault="004F160A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A675001" w14:textId="77777777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87525B6" w14:textId="2A86E78E" w:rsidR="002555D1" w:rsidRPr="00804B61" w:rsidRDefault="006113BD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GB"/>
        </w:rPr>
        <w:drawing>
          <wp:inline distT="0" distB="0" distL="0" distR="0" wp14:anchorId="7C104B44" wp14:editId="2DA50EAC">
            <wp:extent cx="6007735" cy="1903730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90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46772" w14:textId="77777777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2716053" w14:textId="28B6500A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04B61">
        <w:rPr>
          <w:rFonts w:ascii="Arial" w:hAnsi="Arial" w:cs="Arial"/>
          <w:b/>
          <w:color w:val="000000"/>
          <w:sz w:val="22"/>
          <w:szCs w:val="22"/>
        </w:rPr>
        <w:t>Figure 1</w:t>
      </w:r>
      <w:r w:rsidR="004F160A">
        <w:rPr>
          <w:rFonts w:ascii="Arial" w:hAnsi="Arial" w:cs="Arial"/>
          <w:b/>
          <w:color w:val="000000"/>
          <w:sz w:val="22"/>
          <w:szCs w:val="22"/>
        </w:rPr>
        <w:t>.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Distribution of </w:t>
      </w:r>
      <w:r w:rsidR="006113BD">
        <w:rPr>
          <w:rFonts w:ascii="Arial" w:hAnsi="Arial" w:cs="Arial"/>
          <w:color w:val="000000"/>
          <w:sz w:val="22"/>
          <w:szCs w:val="22"/>
        </w:rPr>
        <w:t xml:space="preserve">47 </w:t>
      </w:r>
      <w:r>
        <w:rPr>
          <w:rFonts w:ascii="Arial" w:hAnsi="Arial" w:cs="Arial"/>
          <w:color w:val="000000"/>
          <w:sz w:val="22"/>
          <w:szCs w:val="22"/>
        </w:rPr>
        <w:t xml:space="preserve">full </w:t>
      </w:r>
      <w:r w:rsidRPr="00804B61">
        <w:rPr>
          <w:rFonts w:ascii="Arial" w:hAnsi="Arial" w:cs="Arial"/>
          <w:color w:val="000000"/>
          <w:sz w:val="22"/>
          <w:szCs w:val="22"/>
        </w:rPr>
        <w:t>turncurtovirus</w:t>
      </w:r>
      <w:r>
        <w:rPr>
          <w:rFonts w:ascii="Arial" w:hAnsi="Arial" w:cs="Arial"/>
          <w:color w:val="000000"/>
          <w:sz w:val="22"/>
          <w:szCs w:val="22"/>
        </w:rPr>
        <w:t xml:space="preserve"> genomes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</w:t>
      </w:r>
      <w:r w:rsidR="00094DB8">
        <w:rPr>
          <w:rFonts w:ascii="Arial" w:hAnsi="Arial" w:cs="Arial"/>
          <w:color w:val="000000"/>
          <w:sz w:val="22"/>
          <w:szCs w:val="22"/>
        </w:rPr>
        <w:t xml:space="preserve">based on genome-wide identities 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calculated using SDT v1.2 (Muhire et al., 2014). </w:t>
      </w:r>
    </w:p>
    <w:p w14:paraId="428916CF" w14:textId="77777777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03CE80E" w14:textId="1035254B" w:rsidR="002555D1" w:rsidRPr="00804B61" w:rsidRDefault="004913A8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GB"/>
        </w:rPr>
        <w:drawing>
          <wp:inline distT="0" distB="0" distL="0" distR="0" wp14:anchorId="61E45B5A" wp14:editId="50B8B3C4">
            <wp:extent cx="4421133" cy="5140462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2_turncurtoviru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1133" cy="514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F274B" w14:textId="1F94C92C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B62A6C9" w14:textId="4EB45859" w:rsidR="004913A8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04B61">
        <w:rPr>
          <w:rFonts w:ascii="Arial" w:hAnsi="Arial" w:cs="Arial"/>
          <w:b/>
          <w:color w:val="000000"/>
          <w:sz w:val="22"/>
          <w:szCs w:val="22"/>
        </w:rPr>
        <w:t>Figure 2</w:t>
      </w:r>
      <w:r w:rsidR="004F160A">
        <w:rPr>
          <w:rFonts w:ascii="Arial" w:hAnsi="Arial" w:cs="Arial"/>
          <w:b/>
          <w:color w:val="000000"/>
          <w:sz w:val="22"/>
          <w:szCs w:val="22"/>
        </w:rPr>
        <w:t>.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Neighbor-joining phylogenetic tree </w:t>
      </w:r>
      <w:r>
        <w:rPr>
          <w:rFonts w:ascii="Arial" w:hAnsi="Arial" w:cs="Arial"/>
          <w:color w:val="000000"/>
          <w:sz w:val="22"/>
          <w:szCs w:val="22"/>
        </w:rPr>
        <w:t>depicting the degrees of relatedness of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turncurtovirus </w:t>
      </w:r>
      <w:r w:rsidRPr="00804B61">
        <w:rPr>
          <w:rFonts w:ascii="Arial" w:hAnsi="Arial" w:cs="Arial"/>
          <w:color w:val="000000"/>
          <w:sz w:val="22"/>
          <w:szCs w:val="22"/>
        </w:rPr>
        <w:t>complete genome sequences</w:t>
      </w:r>
      <w:r>
        <w:rPr>
          <w:rFonts w:ascii="Arial" w:hAnsi="Arial" w:cs="Arial"/>
          <w:color w:val="000000"/>
          <w:sz w:val="22"/>
          <w:szCs w:val="22"/>
        </w:rPr>
        <w:t>. The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tree is 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rooted with </w:t>
      </w:r>
      <w:r>
        <w:rPr>
          <w:rFonts w:ascii="Arial" w:hAnsi="Arial" w:cs="Arial"/>
          <w:color w:val="000000"/>
          <w:sz w:val="22"/>
          <w:szCs w:val="22"/>
        </w:rPr>
        <w:t xml:space="preserve">the </w:t>
      </w:r>
      <w:r w:rsidRPr="00804B61">
        <w:rPr>
          <w:rFonts w:ascii="Arial" w:hAnsi="Arial" w:cs="Arial"/>
          <w:color w:val="000000"/>
          <w:sz w:val="22"/>
          <w:szCs w:val="22"/>
        </w:rPr>
        <w:t>genome sequences of eragroviruses</w:t>
      </w:r>
      <w:r>
        <w:rPr>
          <w:rFonts w:ascii="Arial" w:hAnsi="Arial" w:cs="Arial"/>
          <w:color w:val="000000"/>
          <w:sz w:val="22"/>
          <w:szCs w:val="22"/>
        </w:rPr>
        <w:t xml:space="preserve"> (not shown)</w:t>
      </w:r>
      <w:r w:rsidRPr="00804B61">
        <w:rPr>
          <w:rFonts w:ascii="Arial" w:hAnsi="Arial" w:cs="Arial"/>
          <w:color w:val="000000"/>
          <w:sz w:val="22"/>
          <w:szCs w:val="22"/>
        </w:rPr>
        <w:t xml:space="preserve">. </w:t>
      </w:r>
      <w:r w:rsidR="00054AD8">
        <w:rPr>
          <w:rFonts w:ascii="Arial" w:hAnsi="Arial" w:cs="Arial"/>
          <w:color w:val="000000"/>
          <w:sz w:val="22"/>
          <w:szCs w:val="22"/>
        </w:rPr>
        <w:t>Clear</w:t>
      </w:r>
      <w:r w:rsidR="00094DB8">
        <w:rPr>
          <w:rFonts w:ascii="Arial" w:hAnsi="Arial" w:cs="Arial"/>
          <w:color w:val="000000"/>
          <w:sz w:val="22"/>
          <w:szCs w:val="22"/>
        </w:rPr>
        <w:t xml:space="preserve"> distinction between isolates of two species is indicated by the presence of two distinct groups. </w:t>
      </w:r>
      <w:r w:rsidRPr="00804B61">
        <w:rPr>
          <w:rFonts w:ascii="Arial" w:hAnsi="Arial" w:cs="Arial"/>
          <w:color w:val="000000"/>
          <w:sz w:val="22"/>
          <w:szCs w:val="22"/>
        </w:rPr>
        <w:t>Branches with &lt;60% bootstrap support have been collapsed</w:t>
      </w:r>
    </w:p>
    <w:p w14:paraId="475C1357" w14:textId="77777777" w:rsidR="004913A8" w:rsidRDefault="004913A8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100A63E" w14:textId="77777777" w:rsidR="004913A8" w:rsidRDefault="004913A8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AABCC0B" w14:textId="7D0EC64B" w:rsidR="004913A8" w:rsidRDefault="00485048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GB"/>
        </w:rPr>
        <w:lastRenderedPageBreak/>
        <w:drawing>
          <wp:inline distT="0" distB="0" distL="0" distR="0" wp14:anchorId="3ADA1379" wp14:editId="7588EE89">
            <wp:extent cx="5294387" cy="4922530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3_turncurtoviru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4387" cy="492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E1F99" w14:textId="77777777" w:rsidR="004913A8" w:rsidRDefault="004913A8" w:rsidP="006C4A0C">
      <w:pPr>
        <w:pStyle w:val="BodyTextIndent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03B349A8" w14:textId="1A9829F3" w:rsidR="002555D1" w:rsidRPr="00804B61" w:rsidRDefault="004913A8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F7E5E">
        <w:rPr>
          <w:rFonts w:ascii="Arial" w:hAnsi="Arial" w:cs="Arial"/>
          <w:b/>
          <w:color w:val="000000"/>
          <w:sz w:val="22"/>
          <w:szCs w:val="22"/>
        </w:rPr>
        <w:t>Figure 3: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555D1" w:rsidRPr="00804B61">
        <w:rPr>
          <w:rFonts w:ascii="Arial" w:hAnsi="Arial" w:cs="Arial"/>
          <w:color w:val="000000"/>
          <w:sz w:val="22"/>
          <w:szCs w:val="22"/>
        </w:rPr>
        <w:t>A pairwise identity matrix of turncurtoviruses calculated using SDT v1.2 (Muhire et al., 2014).</w:t>
      </w:r>
    </w:p>
    <w:p w14:paraId="101D6A9B" w14:textId="77777777" w:rsidR="0067466F" w:rsidRDefault="0067466F">
      <w:pPr>
        <w:rPr>
          <w:rFonts w:ascii="Arial" w:hAnsi="Arial" w:cs="Arial"/>
          <w:color w:val="000000"/>
          <w:sz w:val="22"/>
          <w:szCs w:val="22"/>
          <w:lang w:eastAsia="en-GB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538F751A" w14:textId="77777777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18C5A82" w14:textId="77777777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07914ED" w14:textId="5CB72383" w:rsidR="002555D1" w:rsidRPr="00804B61" w:rsidRDefault="002555D1" w:rsidP="00404D4D">
      <w:pPr>
        <w:pStyle w:val="BodyTextIndent"/>
        <w:ind w:left="0" w:firstLine="0"/>
        <w:outlineLvl w:val="0"/>
        <w:rPr>
          <w:rFonts w:ascii="Arial" w:hAnsi="Arial" w:cs="Arial"/>
          <w:color w:val="000000"/>
          <w:sz w:val="22"/>
          <w:szCs w:val="22"/>
        </w:rPr>
      </w:pPr>
      <w:r w:rsidRPr="00804B61">
        <w:rPr>
          <w:rFonts w:ascii="Arial" w:hAnsi="Arial" w:cs="Arial"/>
          <w:b/>
          <w:color w:val="000000"/>
          <w:sz w:val="22"/>
          <w:szCs w:val="22"/>
        </w:rPr>
        <w:t>Table 1</w:t>
      </w:r>
      <w:r w:rsidR="004F160A">
        <w:rPr>
          <w:rFonts w:ascii="Arial" w:hAnsi="Arial" w:cs="Arial"/>
          <w:b/>
          <w:color w:val="000000"/>
          <w:sz w:val="22"/>
          <w:szCs w:val="22"/>
        </w:rPr>
        <w:t>.</w:t>
      </w:r>
      <w:r w:rsidR="004F160A">
        <w:rPr>
          <w:rFonts w:ascii="Arial" w:hAnsi="Arial" w:cs="Arial"/>
          <w:color w:val="000000"/>
          <w:sz w:val="22"/>
          <w:szCs w:val="22"/>
        </w:rPr>
        <w:t xml:space="preserve"> Details of turncurtovirus species and isolates.</w:t>
      </w:r>
    </w:p>
    <w:p w14:paraId="0024B0ED" w14:textId="77777777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516"/>
        <w:gridCol w:w="1664"/>
        <w:gridCol w:w="2364"/>
        <w:gridCol w:w="2053"/>
      </w:tblGrid>
      <w:tr w:rsidR="002555D1" w:rsidRPr="00804B61" w14:paraId="1074EDFC" w14:textId="77777777" w:rsidTr="000C7F1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A42BFF" w14:textId="77777777" w:rsidR="002555D1" w:rsidRPr="00804B61" w:rsidRDefault="002555D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04B61">
              <w:rPr>
                <w:rFonts w:ascii="Arial" w:hAnsi="Arial" w:cs="Arial"/>
                <w:b/>
                <w:sz w:val="14"/>
                <w:szCs w:val="14"/>
              </w:rPr>
              <w:t>Species</w:t>
            </w:r>
            <w:r w:rsidR="00C92E8C">
              <w:rPr>
                <w:rFonts w:ascii="Arial" w:hAnsi="Arial" w:cs="Arial"/>
                <w:b/>
                <w:sz w:val="14"/>
                <w:szCs w:val="14"/>
              </w:rPr>
              <w:t xml:space="preserve">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389C72" w14:textId="77777777" w:rsidR="002555D1" w:rsidRPr="00804B61" w:rsidRDefault="002555D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804B6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GB"/>
              </w:rPr>
              <w:t>GenBank accession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1D69C35" w14:textId="77777777" w:rsidR="002555D1" w:rsidRPr="00804B61" w:rsidRDefault="002555D1">
            <w:pPr>
              <w:rPr>
                <w:rFonts w:ascii="Arial" w:hAnsi="Arial" w:cs="Arial"/>
                <w:b/>
                <w:color w:val="000000"/>
                <w:sz w:val="14"/>
                <w:szCs w:val="14"/>
                <w:lang w:val="en-GB"/>
              </w:rPr>
            </w:pPr>
            <w:r w:rsidRPr="00804B61">
              <w:rPr>
                <w:rFonts w:ascii="Arial" w:hAnsi="Arial" w:cs="Arial"/>
                <w:b/>
                <w:color w:val="000000"/>
                <w:sz w:val="14"/>
                <w:szCs w:val="14"/>
                <w:lang w:val="en-GB"/>
              </w:rPr>
              <w:t>Isolate</w:t>
            </w:r>
            <w:r w:rsidR="00C92E8C">
              <w:rPr>
                <w:rFonts w:ascii="Arial" w:hAnsi="Arial" w:cs="Arial"/>
                <w:b/>
                <w:color w:val="000000"/>
                <w:sz w:val="14"/>
                <w:szCs w:val="14"/>
                <w:lang w:val="en-GB"/>
              </w:rPr>
              <w:t xml:space="preserve">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3384A7" w14:textId="77777777" w:rsidR="002555D1" w:rsidRPr="00804B61" w:rsidRDefault="002555D1">
            <w:pPr>
              <w:rPr>
                <w:rFonts w:ascii="Arial" w:hAnsi="Arial" w:cs="Arial"/>
                <w:b/>
                <w:iCs/>
                <w:color w:val="000000"/>
                <w:sz w:val="14"/>
                <w:szCs w:val="14"/>
                <w:lang w:val="en-GB"/>
              </w:rPr>
            </w:pPr>
            <w:r w:rsidRPr="00804B61">
              <w:rPr>
                <w:rFonts w:ascii="Arial" w:hAnsi="Arial" w:cs="Arial"/>
                <w:b/>
                <w:iCs/>
                <w:color w:val="000000"/>
                <w:sz w:val="14"/>
                <w:szCs w:val="14"/>
                <w:lang w:val="en-GB"/>
              </w:rPr>
              <w:t>Host</w:t>
            </w:r>
          </w:p>
        </w:tc>
      </w:tr>
      <w:tr w:rsidR="002555D1" w:rsidRPr="00804B61" w14:paraId="6E076F6F" w14:textId="77777777" w:rsidTr="000C7F11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0DAA4ED" w14:textId="77777777" w:rsidR="002555D1" w:rsidRPr="00804B61" w:rsidRDefault="002555D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804B61">
              <w:rPr>
                <w:rFonts w:ascii="Arial" w:hAnsi="Arial" w:cs="Arial"/>
                <w:i/>
                <w:sz w:val="14"/>
                <w:szCs w:val="14"/>
              </w:rPr>
              <w:t>Turnip curly top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F603C6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GU456687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EFB7728" w14:textId="252DCB9E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IR: Hom2:8K:09]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0170428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7F505D92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4AEDA9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C3B73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GU456688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D15018" w14:textId="5749CE91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IR: Hom3:4K:09]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FA6DBB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7BA47B84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22A48D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F7F07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GU456689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890629" w14:textId="502441F6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IR: Hom3:7K:09]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BE2BD5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4A03DED8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2381CB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738EB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8F3FB3" w14:textId="0E35163F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IR:Lap:L13:Tur:12]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8B95F0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2A3F4170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88E953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DB5C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CB39D4" w14:textId="7F2AB2CA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IR:Lap:L2-P:Tur:12]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7658F2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060EE1E1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BE3389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C0468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GU456685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D1EA5D" w14:textId="10D58D01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IR:Zaf:B11:06]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18D0CB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0168B588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FC17F5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FD3B6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D9F8C9" w14:textId="6D9893D5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IR:Zaf:Z8:Tur:12]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2A00AC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34A53A85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08DD3A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C41A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EEA1B" w14:textId="0089D3D5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IR:Hom:H6:Tur:12]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7E913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1C3D8A23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C2D822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A65B1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4C333C" w14:textId="34059209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IR:Hom:H8:Tur:12]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6490F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0F7D89D5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E91157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B3263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JQ742019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D8DC7F" w14:textId="6ADBD089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IR:Hom:T57K:Tur:10]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9000DA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val="en-GB"/>
              </w:rPr>
              <w:t>Raphanus sativus</w:t>
            </w:r>
          </w:p>
        </w:tc>
      </w:tr>
      <w:tr w:rsidR="002555D1" w:rsidRPr="00804B61" w14:paraId="30F1745A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1D73AA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B1EF2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0EE9C1" w14:textId="4D79D542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IR:Hom:Th8:Tur:12]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2A61A9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22D655A9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096029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AD8F8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GU456686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224DED" w14:textId="05435FA5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IR:Hom1:2K:09]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460E7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02EA5A3B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A102C6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41942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9BCB7" w14:textId="444B3D4C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IR:Lap:L16:Tur:12]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4973C0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4824198F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9435DD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3547A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2C9A2D" w14:textId="3795184A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IR:Zaf:Z2-14:Tur:12]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235942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739A21D0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F561F6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BDA21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AC13EE" w14:textId="1EEF36A2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IR:Zaf:Z2-18:Tur:12]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579B0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742CEA83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01056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FA31C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314A5B" w14:textId="23EED935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IR:Zaf:Z2-26:Let:12]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FE4F16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Lactuca sativa</w:t>
            </w:r>
          </w:p>
        </w:tc>
      </w:tr>
      <w:tr w:rsidR="002555D1" w:rsidRPr="00804B61" w14:paraId="0307D66B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2D9687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4AB75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628F6D" w14:textId="76D1C030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IR:Zaf:Z2-4:Sug:12]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254653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Beta vulgaris</w:t>
            </w:r>
          </w:p>
        </w:tc>
      </w:tr>
      <w:tr w:rsidR="002555D1" w:rsidRPr="00804B61" w14:paraId="7A83C2F8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B96883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B58CA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B9F6C8" w14:textId="5453C7CB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IR:Zaf:Z9:Tur:12]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3D0F61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15A78095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DB8FEB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CEC89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7B0628" w14:textId="6ECE7C08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IR:Hom:H1:Tur:12]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A803D3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35025246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FCA02E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9EC8F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1520B6" w14:textId="7FC78EE1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IR:Lap:L14:Tur:12]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94BC23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17778F4C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1B0CD0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7690B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5B0E7" w14:textId="034B25A4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IR:Zaf:Z10:Tur:12]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304298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39707D95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C1146C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96DD1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36CB0F" w14:textId="2C9715B3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IR:Zaf:Z2-1:Tur:12]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8DA03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444B8B06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8E8476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C79B6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560299" w14:textId="12BEE0A7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IR:Zaf:Z3:Tur:12]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AE8C5C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71F70257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214AB6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BE051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193FBE" w14:textId="56D435C4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IR:Zaf:Z5-2:Tur:12]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AF3E55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0F454CB1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21BE0A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457FB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30038F" w14:textId="20380E11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IR:Zaf:Z6:Tur:12]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057AD1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672CF785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9BCE95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11162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KC108902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149BC4" w14:textId="57118EEB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IR:Hom:H9:Tur:12]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A88CC4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28A38B0D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208B9F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93897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1CCCEC" w14:textId="6705225E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IR:Hom:Th10:Tur:12]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EE724A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7F9E40CC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1A4977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1289A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FF9C00" w14:textId="01999DED" w:rsidR="002555D1" w:rsidRPr="00804B61" w:rsidRDefault="002555D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IR:Hom:Th9:Tur:12]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106FCF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2555D1" w:rsidRPr="00804B61" w14:paraId="5ACE6D68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28D8D4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32DA2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CA79FD" w14:textId="727B4BE2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IR:Zaf:Z4-15:Bas:12]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B6CC75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Ocimum basilicum</w:t>
            </w:r>
          </w:p>
        </w:tc>
      </w:tr>
      <w:tr w:rsidR="002555D1" w:rsidRPr="00804B61" w14:paraId="60D87B9E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4824DE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B3CAE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13A57E" w14:textId="4A68F750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IR:Zaf:Z4-22:Rad:12]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C0BB26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Raphanus sativus</w:t>
            </w:r>
          </w:p>
        </w:tc>
      </w:tr>
      <w:tr w:rsidR="002555D1" w:rsidRPr="00804B61" w14:paraId="4ABAE553" w14:textId="77777777" w:rsidTr="005F7E5E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6C0B3BEE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06070A02" w14:textId="77777777" w:rsidR="002555D1" w:rsidRPr="00804B61" w:rsidRDefault="002555D1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57179B9C" w14:textId="5639E28A" w:rsidR="002555D1" w:rsidRPr="00B55223" w:rsidRDefault="002555D1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 w:rsidR="00404D4D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IR:Zaf:Z4-7:Rad:12]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3FB981F2" w14:textId="77777777" w:rsidR="002555D1" w:rsidRPr="00804B61" w:rsidRDefault="002555D1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Raphanus sativus</w:t>
            </w:r>
          </w:p>
        </w:tc>
      </w:tr>
      <w:tr w:rsidR="00485048" w:rsidRPr="00804B61" w14:paraId="48DC52E7" w14:textId="77777777" w:rsidTr="005F7E5E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79C839CC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115E32EF" w14:textId="0FBE1A6E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65D4BCFC" w14:textId="0B08ACD4" w:rsidR="00485048" w:rsidRPr="00B55223" w:rsidRDefault="00485048" w:rsidP="00485048">
            <w:pP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IR:Zaf:Z4-9:Sug12]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2D62F84C" w14:textId="66DB03B3" w:rsidR="00485048" w:rsidRPr="00804B61" w:rsidRDefault="00485048" w:rsidP="00485048">
            <w:pPr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Beta vulgaris</w:t>
            </w:r>
          </w:p>
        </w:tc>
      </w:tr>
      <w:tr w:rsidR="00485048" w:rsidRPr="00804B61" w14:paraId="7DD2FE1F" w14:textId="77777777" w:rsidTr="005F7E5E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4EA20912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3942CCCF" w14:textId="2DA5391F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85048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KX53346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52B7EFCC" w14:textId="5F22B6EF" w:rsidR="00485048" w:rsidRPr="00B55223" w:rsidRDefault="00485048" w:rsidP="005F7E5E">
            <w:pP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TCTV-[IR:</w:t>
            </w:r>
            <w:r w:rsidRPr="00485048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:</w:t>
            </w:r>
            <w:r w:rsidRPr="00485048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CZ7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:</w:t>
            </w:r>
            <w:r w:rsidRPr="00485048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2013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757753B3" w14:textId="7D5B2959" w:rsidR="00485048" w:rsidRPr="005F7E5E" w:rsidRDefault="00485048" w:rsidP="00485048">
            <w:pPr>
              <w:rPr>
                <w:rFonts w:ascii="Arial" w:hAnsi="Arial" w:cs="Arial"/>
                <w:bCs/>
                <w:iCs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14"/>
                <w:szCs w:val="14"/>
                <w:lang w:val="en-GB"/>
              </w:rPr>
              <w:t>leafhopper</w:t>
            </w:r>
          </w:p>
        </w:tc>
      </w:tr>
      <w:tr w:rsidR="00485048" w:rsidRPr="00804B61" w14:paraId="58D18054" w14:textId="77777777" w:rsidTr="005F7E5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FC74C5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189EAE" w14:textId="158A1952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5048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KX533467</w:t>
            </w:r>
            <w:r w:rsidRPr="00485048" w:rsidDel="00485048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8C4F74" w14:textId="40E2A2BE" w:rsidR="00485048" w:rsidRPr="00B55223" w:rsidRDefault="00485048" w:rsidP="005F7E5E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TCTV-[</w:t>
            </w:r>
            <w:r w:rsidRPr="00485048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R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:</w:t>
            </w:r>
            <w:r w:rsidRPr="00485048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CZ1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:</w:t>
            </w:r>
            <w:r w:rsidRPr="00485048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2013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6D0F19A" w14:textId="518A2166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14"/>
                <w:szCs w:val="14"/>
                <w:lang w:val="en-GB"/>
              </w:rPr>
              <w:t>leafhopper</w:t>
            </w:r>
            <w:r w:rsidRPr="00804B61" w:rsidDel="00485048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 xml:space="preserve"> </w:t>
            </w:r>
          </w:p>
        </w:tc>
      </w:tr>
      <w:tr w:rsidR="00485048" w:rsidRPr="00804B61" w14:paraId="46E9FE0E" w14:textId="77777777" w:rsidTr="005F7E5E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834F91E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Turnip leaf roll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45F59A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DEBD89B" w14:textId="46BEA63D" w:rsidR="00485048" w:rsidRPr="00804B61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u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IR:Hom:Th2:Tur:12]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BE18CF8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485048" w:rsidRPr="00804B61" w14:paraId="5EFBB106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C43196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EFA72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CAAEAC" w14:textId="5CABC5C8" w:rsidR="00485048" w:rsidRPr="00804B61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u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IR:Hom:Th5:Tur:12]: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9BCC5B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485048" w:rsidRPr="00804B61" w14:paraId="61CEDB91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C31795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C9840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9C976" w14:textId="65A9D3F8" w:rsidR="00485048" w:rsidRPr="00B55223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u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IR:Zaf:Z11-4:Tur:12]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52713B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485048" w:rsidRPr="00804B61" w14:paraId="6B41B43A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CA4289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75B17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1E223F" w14:textId="091C424D" w:rsidR="00485048" w:rsidRPr="00B55223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u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IR:Zaf:Z11gl:Tur:12]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14C120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485048" w:rsidRPr="00804B61" w14:paraId="1C08B8F4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ABF979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8015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D47966" w14:textId="4ED29DB7" w:rsidR="00485048" w:rsidRPr="00B55223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u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IR:Zaf:Z7:Tur:12]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421ABD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485048" w:rsidRPr="00804B61" w14:paraId="35BEF37B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AC1886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582C8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E6EBAD" w14:textId="77CF29AC" w:rsidR="00485048" w:rsidRPr="00804B61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u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IR:Zaf:Z2-22:Let:12]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C2E74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Lactuca sativa</w:t>
            </w:r>
          </w:p>
        </w:tc>
      </w:tr>
      <w:tr w:rsidR="00485048" w:rsidRPr="00804B61" w14:paraId="22B3F266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8F7944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C1FC4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CB51A3" w14:textId="53A17B3E" w:rsidR="00485048" w:rsidRPr="00B55223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u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IR:Ney:N8-5:Tur:14]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078CDE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485048" w:rsidRPr="00804B61" w14:paraId="0B06D6BA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66ED0C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0D5D4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37F239" w14:textId="6349FA9E" w:rsidR="00485048" w:rsidRPr="00B55223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u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IR:Zaf:Z2-15:Tur:12]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541DC4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Brassica rapa</w:t>
            </w:r>
          </w:p>
        </w:tc>
      </w:tr>
      <w:tr w:rsidR="00485048" w:rsidRPr="00804B61" w14:paraId="45D7CF5E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684DFA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43055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3F15C7" w14:textId="7EE669FB" w:rsidR="00485048" w:rsidRPr="00804B61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u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IR:Zaf:Z2-23:Let:12]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335885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Lactuca sativa</w:t>
            </w:r>
          </w:p>
        </w:tc>
      </w:tr>
      <w:tr w:rsidR="00485048" w:rsidRPr="00804B61" w14:paraId="26EF645E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3B15F4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5EC17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FED58C" w14:textId="1385355F" w:rsidR="00485048" w:rsidRPr="00804B61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u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IR:Zaf:Z2-24:Let:12]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532642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Lactuca sativa</w:t>
            </w:r>
          </w:p>
        </w:tc>
      </w:tr>
      <w:tr w:rsidR="00485048" w:rsidRPr="00804B61" w14:paraId="3DAE7C33" w14:textId="77777777" w:rsidTr="008151AE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EA36B0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0D989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64BF7" w14:textId="2D0A2A9B" w:rsidR="00485048" w:rsidRPr="00804B61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u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-[</w:t>
            </w:r>
            <w:r w:rsidRPr="00804B61">
              <w:rPr>
                <w:rFonts w:ascii="Arial" w:hAnsi="Arial" w:cs="Arial"/>
                <w:bCs/>
                <w:color w:val="000000"/>
                <w:sz w:val="14"/>
                <w:szCs w:val="14"/>
                <w:lang w:val="en-GB"/>
              </w:rPr>
              <w:t>IR:Zaf:Z2-49:Red beet:12]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FD0B7D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 xml:space="preserve">Beta vulgaris </w:t>
            </w: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subsp.</w:t>
            </w:r>
            <w:r w:rsidRPr="00804B61">
              <w:rPr>
                <w:rFonts w:ascii="Arial" w:hAnsi="Arial" w:cs="Arial"/>
                <w:i/>
                <w:iCs/>
                <w:color w:val="000000"/>
                <w:sz w:val="14"/>
                <w:szCs w:val="14"/>
                <w:lang w:val="en-GB"/>
              </w:rPr>
              <w:t xml:space="preserve"> maritima</w:t>
            </w:r>
          </w:p>
        </w:tc>
      </w:tr>
      <w:tr w:rsidR="00485048" w:rsidRPr="00804B61" w14:paraId="68204F6F" w14:textId="77777777" w:rsidTr="000C7F11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69DF766F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bottom"/>
          </w:tcPr>
          <w:p w14:paraId="3CCF6C39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KT388083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7C778FC2" w14:textId="03D29C1F" w:rsidR="00485048" w:rsidRPr="00B55223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u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IR:Zaf:Z4-10:Sug:12]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14:paraId="11D30981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Beta vulgaris</w:t>
            </w:r>
          </w:p>
        </w:tc>
      </w:tr>
      <w:tr w:rsidR="00485048" w:rsidRPr="00804B61" w14:paraId="0F60C3EE" w14:textId="77777777" w:rsidTr="000C7F11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9450A8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E7161E" w14:textId="77777777" w:rsidR="00485048" w:rsidRPr="00804B61" w:rsidRDefault="00485048" w:rsidP="00485048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KT388084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A487BFA" w14:textId="65BB1092" w:rsidR="00485048" w:rsidRPr="00B55223" w:rsidRDefault="00485048" w:rsidP="00485048">
            <w:pPr>
              <w:rPr>
                <w:rFonts w:ascii="Arial" w:hAnsi="Arial" w:cs="Arial"/>
                <w:color w:val="000000"/>
                <w:sz w:val="14"/>
                <w:szCs w:val="14"/>
                <w:lang w:val="pt-PT"/>
              </w:rPr>
            </w:pP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u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LRV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-[</w:t>
            </w:r>
            <w:r w:rsidRPr="00B55223">
              <w:rPr>
                <w:rFonts w:ascii="Arial" w:hAnsi="Arial" w:cs="Arial"/>
                <w:bCs/>
                <w:color w:val="000000"/>
                <w:sz w:val="14"/>
                <w:szCs w:val="14"/>
                <w:lang w:val="pt-PT"/>
              </w:rPr>
              <w:t>IR:Zaf:Z4-12:Sug:12]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9C9020E" w14:textId="77777777" w:rsidR="00485048" w:rsidRPr="00804B61" w:rsidRDefault="00485048" w:rsidP="00485048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04B61">
              <w:rPr>
                <w:rFonts w:ascii="Arial" w:hAnsi="Arial" w:cs="Arial"/>
                <w:bCs/>
                <w:i/>
                <w:iCs/>
                <w:color w:val="000000"/>
                <w:sz w:val="14"/>
                <w:szCs w:val="14"/>
                <w:lang w:val="en-GB"/>
              </w:rPr>
              <w:t>Beta vulgaris</w:t>
            </w:r>
          </w:p>
        </w:tc>
      </w:tr>
    </w:tbl>
    <w:p w14:paraId="0E494A12" w14:textId="77777777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CAB4864" w14:textId="77777777" w:rsidR="002555D1" w:rsidRPr="00804B61" w:rsidRDefault="002555D1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tbl>
      <w:tblPr>
        <w:tblW w:w="9228" w:type="dxa"/>
        <w:tblLook w:val="00A0" w:firstRow="1" w:lastRow="0" w:firstColumn="1" w:lastColumn="0" w:noHBand="0" w:noVBand="0"/>
      </w:tblPr>
      <w:tblGrid>
        <w:gridCol w:w="9228"/>
      </w:tblGrid>
      <w:tr w:rsidR="002555D1" w:rsidRPr="00804B61" w14:paraId="52D71D78" w14:textId="77777777">
        <w:trPr>
          <w:tblHeader/>
        </w:trPr>
        <w:tc>
          <w:tcPr>
            <w:tcW w:w="9228" w:type="dxa"/>
          </w:tcPr>
          <w:p w14:paraId="4204F27B" w14:textId="77777777" w:rsidR="002555D1" w:rsidRPr="00804B61" w:rsidRDefault="002555D1" w:rsidP="00D12E53">
            <w:pPr>
              <w:pStyle w:val="BodyTextIndent"/>
              <w:ind w:left="0" w:firstLine="0"/>
              <w:rPr>
                <w:b/>
                <w:color w:val="808080"/>
              </w:rPr>
            </w:pPr>
          </w:p>
        </w:tc>
      </w:tr>
      <w:tr w:rsidR="002555D1" w:rsidRPr="00804B61" w14:paraId="05C7EAD0" w14:textId="77777777">
        <w:trPr>
          <w:tblHeader/>
        </w:trPr>
        <w:tc>
          <w:tcPr>
            <w:tcW w:w="9228" w:type="dxa"/>
          </w:tcPr>
          <w:p w14:paraId="219254B2" w14:textId="77777777" w:rsidR="002555D1" w:rsidRPr="00804B61" w:rsidRDefault="002555D1" w:rsidP="00A11ACF">
            <w:pPr>
              <w:spacing w:after="120"/>
              <w:rPr>
                <w:b/>
              </w:rPr>
            </w:pPr>
            <w:r w:rsidRPr="00804B61">
              <w:rPr>
                <w:b/>
              </w:rPr>
              <w:t>References:</w:t>
            </w:r>
          </w:p>
        </w:tc>
      </w:tr>
      <w:tr w:rsidR="002555D1" w:rsidRPr="00804B61" w14:paraId="62F9DD01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7DF3D" w14:textId="6C412302" w:rsidR="002555D1" w:rsidRDefault="002555D1" w:rsidP="00804B6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804B61">
              <w:rPr>
                <w:rFonts w:ascii="Times New Roman" w:hAnsi="Times New Roman"/>
                <w:color w:val="000000"/>
              </w:rPr>
              <w:t>Kamali, M., Heydarnejad, J., Massumi, H., Kvarnheden, A., Kraberger, S., Varsani, A. (2016) Molecular diversity of turncurtoviruses in Iran. Archives of Virology. 161, 551-561</w:t>
            </w:r>
          </w:p>
          <w:p w14:paraId="19E8F984" w14:textId="77AE3B93" w:rsidR="00485048" w:rsidRPr="00804B61" w:rsidRDefault="00485048" w:rsidP="00804B6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485048">
              <w:rPr>
                <w:rFonts w:ascii="Times New Roman" w:hAnsi="Times New Roman"/>
                <w:color w:val="000000"/>
              </w:rPr>
              <w:t xml:space="preserve">Kamali, M., Heydarnejad, J., Pouramini, N., Masumi, H., Farkas, K., Kraberger, S., Varsani, A. (2017) Genome sequences of </w:t>
            </w:r>
            <w:r w:rsidR="000711D1">
              <w:rPr>
                <w:rFonts w:ascii="Times New Roman" w:hAnsi="Times New Roman"/>
                <w:color w:val="000000"/>
              </w:rPr>
              <w:t>b</w:t>
            </w:r>
            <w:r w:rsidRPr="00485048">
              <w:rPr>
                <w:rFonts w:ascii="Times New Roman" w:hAnsi="Times New Roman"/>
                <w:color w:val="000000"/>
              </w:rPr>
              <w:t>eet curly top Iran virus, Oat dwarf virus, Turnip curly top virus, and Wheat dwarf virus identified in leafhoppers. Genome Announcements. 5: e01674-16</w:t>
            </w:r>
          </w:p>
          <w:p w14:paraId="348C1169" w14:textId="77777777" w:rsidR="002555D1" w:rsidRPr="00804B61" w:rsidRDefault="002555D1" w:rsidP="00804B6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804B61">
              <w:rPr>
                <w:rFonts w:ascii="Times New Roman" w:hAnsi="Times New Roman"/>
                <w:color w:val="000000"/>
              </w:rPr>
              <w:t>Muhire, B.M., Varsani, A., Martin, D.P. (2014) SDT: A Virus Classification Tool Based on Pairwise Sequence Alignment and Identity Calculation. PLoS One 9 (9): e108277</w:t>
            </w:r>
          </w:p>
          <w:p w14:paraId="7C84B259" w14:textId="77777777" w:rsidR="002555D1" w:rsidRPr="00804B61" w:rsidRDefault="002555D1" w:rsidP="00804B6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804B61">
              <w:rPr>
                <w:rFonts w:ascii="Times New Roman" w:hAnsi="Times New Roman"/>
                <w:color w:val="000000"/>
              </w:rPr>
              <w:t xml:space="preserve">Varsani, A., Navaz-Castillo, J., Moriones, E., Hernández-Zepeda, C., Idris, A., Brown, J.K., Zerbini, F.M., Martin, D.P. (2014) Establishment of three new genera in the family </w:t>
            </w:r>
            <w:r w:rsidRPr="00054AD8">
              <w:rPr>
                <w:rFonts w:ascii="Times New Roman" w:hAnsi="Times New Roman"/>
                <w:i/>
                <w:color w:val="000000"/>
              </w:rPr>
              <w:t>Geminiviridae</w:t>
            </w:r>
            <w:r w:rsidRPr="00804B61">
              <w:rPr>
                <w:rFonts w:ascii="Times New Roman" w:hAnsi="Times New Roman"/>
                <w:color w:val="000000"/>
              </w:rPr>
              <w:t xml:space="preserve">: </w:t>
            </w:r>
            <w:r w:rsidRPr="00054AD8">
              <w:rPr>
                <w:rFonts w:ascii="Times New Roman" w:hAnsi="Times New Roman"/>
                <w:i/>
                <w:color w:val="000000"/>
              </w:rPr>
              <w:t>Becurtovirus, Eragrovirus</w:t>
            </w:r>
            <w:r w:rsidRPr="00804B61">
              <w:rPr>
                <w:rFonts w:ascii="Times New Roman" w:hAnsi="Times New Roman"/>
                <w:color w:val="000000"/>
              </w:rPr>
              <w:t xml:space="preserve"> and </w:t>
            </w:r>
            <w:r w:rsidRPr="00054AD8">
              <w:rPr>
                <w:rFonts w:ascii="Times New Roman" w:hAnsi="Times New Roman"/>
                <w:i/>
                <w:color w:val="000000"/>
              </w:rPr>
              <w:t>Turncurtovirus</w:t>
            </w:r>
            <w:r w:rsidRPr="00804B61">
              <w:rPr>
                <w:rFonts w:ascii="Times New Roman" w:hAnsi="Times New Roman"/>
                <w:color w:val="000000"/>
              </w:rPr>
              <w:t>. Archives of Virology 159:2193-2203</w:t>
            </w:r>
          </w:p>
          <w:p w14:paraId="09BAEBEF" w14:textId="77777777" w:rsidR="002555D1" w:rsidRPr="00804B61" w:rsidRDefault="002555D1" w:rsidP="006C4A0C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26A05D82" w14:textId="77777777" w:rsidR="002555D1" w:rsidRPr="00804B61" w:rsidRDefault="002555D1" w:rsidP="00AC0E72"/>
    <w:tbl>
      <w:tblPr>
        <w:tblW w:w="9228" w:type="dxa"/>
        <w:tblLook w:val="00A0" w:firstRow="1" w:lastRow="0" w:firstColumn="1" w:lastColumn="0" w:noHBand="0" w:noVBand="0"/>
      </w:tblPr>
      <w:tblGrid>
        <w:gridCol w:w="9228"/>
      </w:tblGrid>
      <w:tr w:rsidR="002555D1" w:rsidRPr="00804B61" w14:paraId="6A5F4FB8" w14:textId="77777777" w:rsidTr="001E59C1">
        <w:trPr>
          <w:trHeight w:val="1566"/>
        </w:trPr>
        <w:tc>
          <w:tcPr>
            <w:tcW w:w="9228" w:type="dxa"/>
          </w:tcPr>
          <w:p w14:paraId="71301E83" w14:textId="77777777" w:rsidR="002555D1" w:rsidRPr="00804B61" w:rsidRDefault="002555D1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804B61">
              <w:rPr>
                <w:b/>
              </w:rPr>
              <w:t>Annex:</w:t>
            </w:r>
            <w:r w:rsidRPr="00804B6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5E0F8312" w14:textId="77777777" w:rsidR="002555D1" w:rsidRPr="00804B61" w:rsidRDefault="002555D1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 w:rsidRPr="00804B61">
              <w:rPr>
                <w:rFonts w:ascii="Arial" w:hAnsi="Arial" w:cs="Arial"/>
                <w:color w:val="0000FF"/>
                <w:sz w:val="20"/>
              </w:rPr>
              <w:t>Please explain the reasons for the taxonomic changes you are proposing and provide evidence to support them. The following information should be provided, where relevant:</w:t>
            </w:r>
          </w:p>
          <w:p w14:paraId="14243092" w14:textId="77777777" w:rsidR="002555D1" w:rsidRPr="00804B61" w:rsidRDefault="002555D1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04B61">
              <w:rPr>
                <w:rFonts w:ascii="Arial" w:hAnsi="Arial" w:cs="Arial"/>
                <w:b/>
                <w:color w:val="0000FF"/>
                <w:sz w:val="20"/>
              </w:rPr>
              <w:t>Species demarcation criteria</w:t>
            </w:r>
            <w:r w:rsidRPr="00804B61">
              <w:rPr>
                <w:rFonts w:ascii="Arial" w:hAnsi="Arial" w:cs="Arial"/>
                <w:color w:val="0000FF"/>
                <w:sz w:val="20"/>
              </w:rPr>
              <w:t>: Explain how new species differ from others in the genus and demonstrate that these differences meet the criteria previously established for demarcating between species. If no criteria</w:t>
            </w:r>
            <w:r w:rsidRPr="00804B6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Pr="00804B61">
              <w:rPr>
                <w:rFonts w:ascii="Arial" w:hAnsi="Arial" w:cs="Arial"/>
                <w:color w:val="0000FF"/>
                <w:sz w:val="20"/>
              </w:rPr>
              <w:t xml:space="preserve">have previously been established, and if there will now be more than one species in the genus, please state the demarcation criteria you are proposing. </w:t>
            </w:r>
          </w:p>
          <w:p w14:paraId="4B67FB26" w14:textId="77777777" w:rsidR="002555D1" w:rsidRPr="00804B61" w:rsidRDefault="002555D1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04B61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Pr="00804B61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6F1ABDCA" w14:textId="77777777" w:rsidR="002555D1" w:rsidRPr="00804B61" w:rsidRDefault="002555D1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 w:rsidRPr="00804B61">
              <w:rPr>
                <w:rFonts w:ascii="Arial" w:hAnsi="Arial" w:cs="Arial"/>
                <w:color w:val="0000FF"/>
                <w:sz w:val="20"/>
              </w:rPr>
              <w:t xml:space="preserve">There is no formal requirement to state demarcation criteria when proposing new genera or other higher taxa. However, a similar concept should apply in pursuit of a rational and consistent virus taxonomy. </w:t>
            </w:r>
          </w:p>
          <w:p w14:paraId="6FEFD82E" w14:textId="77777777" w:rsidR="002555D1" w:rsidRPr="00804B61" w:rsidRDefault="002555D1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 w:rsidRPr="00804B61">
              <w:rPr>
                <w:rFonts w:ascii="Arial" w:hAnsi="Arial" w:cs="Arial"/>
                <w:color w:val="0000FF"/>
                <w:sz w:val="20"/>
              </w:rPr>
              <w:t xml:space="preserve">Please indicate the </w:t>
            </w:r>
            <w:r w:rsidRPr="00804B61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Pr="00804B61">
              <w:rPr>
                <w:rFonts w:ascii="Arial" w:hAnsi="Arial" w:cs="Arial"/>
                <w:color w:val="0000FF"/>
                <w:sz w:val="20"/>
              </w:rPr>
              <w:t xml:space="preserve"> assigned to new taxa at genus level and above.</w:t>
            </w:r>
          </w:p>
          <w:p w14:paraId="5F4548D5" w14:textId="77777777" w:rsidR="002555D1" w:rsidRPr="00804B61" w:rsidRDefault="002555D1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 w:rsidRPr="00804B61">
              <w:rPr>
                <w:rFonts w:ascii="Arial" w:hAnsi="Arial" w:cs="Arial"/>
                <w:color w:val="0000FF"/>
                <w:sz w:val="20"/>
              </w:rPr>
              <w:t xml:space="preserve">For each new genus a </w:t>
            </w:r>
            <w:r w:rsidRPr="00804B61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 w:rsidRPr="00804B61">
              <w:rPr>
                <w:rFonts w:ascii="Arial" w:hAnsi="Arial" w:cs="Arial"/>
                <w:color w:val="0000FF"/>
                <w:sz w:val="20"/>
              </w:rPr>
              <w:t xml:space="preserve"> must be designated to represent it. Please explain your choice. </w:t>
            </w:r>
          </w:p>
          <w:p w14:paraId="0007F16B" w14:textId="77777777" w:rsidR="002555D1" w:rsidRPr="00804B61" w:rsidRDefault="002555D1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04B61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 w:rsidRPr="00804B61">
              <w:rPr>
                <w:rFonts w:ascii="Arial" w:hAnsi="Arial" w:cs="Arial"/>
                <w:color w:val="0000FF"/>
                <w:sz w:val="20"/>
              </w:rPr>
              <w:t xml:space="preserve">: 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4BC547C6" w14:textId="77777777" w:rsidR="002555D1" w:rsidRPr="00804B61" w:rsidRDefault="002555D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58236AF" w14:textId="77777777" w:rsidR="002555D1" w:rsidRPr="00804B61" w:rsidRDefault="002555D1" w:rsidP="00AC0E72">
      <w:pPr>
        <w:rPr>
          <w:lang w:val="en-GB"/>
        </w:rPr>
        <w:sectPr w:rsidR="002555D1" w:rsidRPr="00804B61" w:rsidSect="00991A82">
          <w:headerReference w:type="default" r:id="rId12"/>
          <w:footerReference w:type="default" r:id="rId13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4F78C68B" w14:textId="77777777" w:rsidR="002555D1" w:rsidRPr="00804B61" w:rsidRDefault="002555D1" w:rsidP="00AC0E72">
      <w:pPr>
        <w:rPr>
          <w:lang w:val="en-GB"/>
        </w:rPr>
      </w:pPr>
    </w:p>
    <w:p w14:paraId="43EDFF54" w14:textId="77777777" w:rsidR="002555D1" w:rsidRPr="00991A82" w:rsidRDefault="00FA2CC7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77033F66" wp14:editId="52A4353F">
                <wp:simplePos x="0" y="0"/>
                <wp:positionH relativeFrom="column">
                  <wp:posOffset>0</wp:posOffset>
                </wp:positionH>
                <wp:positionV relativeFrom="paragraph">
                  <wp:posOffset>196849</wp:posOffset>
                </wp:positionV>
                <wp:extent cx="5600700" cy="0"/>
                <wp:effectExtent l="0" t="0" r="0" b="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4A520" id="Line 1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C4BGKE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2555D1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61320" w14:textId="77777777" w:rsidR="004F27D7" w:rsidRDefault="004F27D7">
      <w:pPr>
        <w:pStyle w:val="Header"/>
      </w:pPr>
      <w:r>
        <w:separator/>
      </w:r>
    </w:p>
  </w:endnote>
  <w:endnote w:type="continuationSeparator" w:id="0">
    <w:p w14:paraId="658F258F" w14:textId="77777777" w:rsidR="004F27D7" w:rsidRDefault="004F27D7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2A114" w14:textId="6AEFC788" w:rsidR="002555D1" w:rsidRPr="002E52B9" w:rsidRDefault="002555D1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33779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33779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A0C34" w14:textId="77777777" w:rsidR="004F27D7" w:rsidRDefault="004F27D7">
      <w:pPr>
        <w:pStyle w:val="Header"/>
      </w:pPr>
      <w:r>
        <w:separator/>
      </w:r>
    </w:p>
  </w:footnote>
  <w:footnote w:type="continuationSeparator" w:id="0">
    <w:p w14:paraId="577A030F" w14:textId="77777777" w:rsidR="004F27D7" w:rsidRDefault="004F27D7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9F510" w14:textId="77777777" w:rsidR="002555D1" w:rsidRPr="00F369A4" w:rsidRDefault="002555D1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54AD8"/>
    <w:rsid w:val="000711D1"/>
    <w:rsid w:val="00072CC5"/>
    <w:rsid w:val="0007433B"/>
    <w:rsid w:val="00093DD3"/>
    <w:rsid w:val="00094DB8"/>
    <w:rsid w:val="000A6DE3"/>
    <w:rsid w:val="000A7F1C"/>
    <w:rsid w:val="000C0126"/>
    <w:rsid w:val="000C32A9"/>
    <w:rsid w:val="000C7F11"/>
    <w:rsid w:val="000D2F03"/>
    <w:rsid w:val="000F5890"/>
    <w:rsid w:val="000F5A87"/>
    <w:rsid w:val="00100092"/>
    <w:rsid w:val="00104A4B"/>
    <w:rsid w:val="0010595F"/>
    <w:rsid w:val="00106E60"/>
    <w:rsid w:val="00114BD4"/>
    <w:rsid w:val="0012008F"/>
    <w:rsid w:val="0012796D"/>
    <w:rsid w:val="001551A8"/>
    <w:rsid w:val="001578A6"/>
    <w:rsid w:val="001664DF"/>
    <w:rsid w:val="00167EFE"/>
    <w:rsid w:val="00170EAF"/>
    <w:rsid w:val="0017329D"/>
    <w:rsid w:val="00173983"/>
    <w:rsid w:val="0017739A"/>
    <w:rsid w:val="001811B7"/>
    <w:rsid w:val="00185699"/>
    <w:rsid w:val="001946B2"/>
    <w:rsid w:val="001C5EE1"/>
    <w:rsid w:val="001E59C1"/>
    <w:rsid w:val="001E7E11"/>
    <w:rsid w:val="001E7FD5"/>
    <w:rsid w:val="001F4031"/>
    <w:rsid w:val="00202BB3"/>
    <w:rsid w:val="00206821"/>
    <w:rsid w:val="00210B49"/>
    <w:rsid w:val="00212269"/>
    <w:rsid w:val="002129A8"/>
    <w:rsid w:val="0022566F"/>
    <w:rsid w:val="002361B7"/>
    <w:rsid w:val="00236673"/>
    <w:rsid w:val="00245C27"/>
    <w:rsid w:val="002539A7"/>
    <w:rsid w:val="002555D1"/>
    <w:rsid w:val="00260377"/>
    <w:rsid w:val="00265E5A"/>
    <w:rsid w:val="002732D1"/>
    <w:rsid w:val="002753B4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2E52B9"/>
    <w:rsid w:val="00304104"/>
    <w:rsid w:val="00305F18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4C3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B0B"/>
    <w:rsid w:val="00404D4D"/>
    <w:rsid w:val="00404ECA"/>
    <w:rsid w:val="00413670"/>
    <w:rsid w:val="004152C9"/>
    <w:rsid w:val="00422FF0"/>
    <w:rsid w:val="00432D9A"/>
    <w:rsid w:val="004435EC"/>
    <w:rsid w:val="00444E1E"/>
    <w:rsid w:val="00447321"/>
    <w:rsid w:val="0044774D"/>
    <w:rsid w:val="0047500D"/>
    <w:rsid w:val="0048343F"/>
    <w:rsid w:val="00485048"/>
    <w:rsid w:val="004913A8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E74DA"/>
    <w:rsid w:val="004F160A"/>
    <w:rsid w:val="004F23EA"/>
    <w:rsid w:val="004F27D7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81ED1"/>
    <w:rsid w:val="005929A4"/>
    <w:rsid w:val="005953F1"/>
    <w:rsid w:val="00597E5E"/>
    <w:rsid w:val="005B600C"/>
    <w:rsid w:val="005D0BFD"/>
    <w:rsid w:val="005D19C9"/>
    <w:rsid w:val="005D7EC4"/>
    <w:rsid w:val="005D7F24"/>
    <w:rsid w:val="005F4309"/>
    <w:rsid w:val="005F53C1"/>
    <w:rsid w:val="005F7E5E"/>
    <w:rsid w:val="00603CFD"/>
    <w:rsid w:val="006071CA"/>
    <w:rsid w:val="006113BD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7466F"/>
    <w:rsid w:val="006859A5"/>
    <w:rsid w:val="00692BE3"/>
    <w:rsid w:val="0069409C"/>
    <w:rsid w:val="006A1735"/>
    <w:rsid w:val="006B2EE7"/>
    <w:rsid w:val="006B6587"/>
    <w:rsid w:val="006B77CE"/>
    <w:rsid w:val="006C4A0C"/>
    <w:rsid w:val="006D1B4E"/>
    <w:rsid w:val="006D59EF"/>
    <w:rsid w:val="006E0B7B"/>
    <w:rsid w:val="006E1DC2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52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2E66"/>
    <w:rsid w:val="007A5735"/>
    <w:rsid w:val="007B3318"/>
    <w:rsid w:val="007C1657"/>
    <w:rsid w:val="007C793A"/>
    <w:rsid w:val="007C7E0E"/>
    <w:rsid w:val="007D0A11"/>
    <w:rsid w:val="007D246C"/>
    <w:rsid w:val="007D4C57"/>
    <w:rsid w:val="007D5A73"/>
    <w:rsid w:val="007D6DB6"/>
    <w:rsid w:val="007E6C07"/>
    <w:rsid w:val="007F5109"/>
    <w:rsid w:val="0080060B"/>
    <w:rsid w:val="00800BFD"/>
    <w:rsid w:val="00801148"/>
    <w:rsid w:val="00802D02"/>
    <w:rsid w:val="00804B61"/>
    <w:rsid w:val="008071B6"/>
    <w:rsid w:val="00812877"/>
    <w:rsid w:val="008151AE"/>
    <w:rsid w:val="00815659"/>
    <w:rsid w:val="008277F3"/>
    <w:rsid w:val="00830785"/>
    <w:rsid w:val="00835B67"/>
    <w:rsid w:val="008418CD"/>
    <w:rsid w:val="008442CB"/>
    <w:rsid w:val="008655D6"/>
    <w:rsid w:val="008762E5"/>
    <w:rsid w:val="00890FAF"/>
    <w:rsid w:val="00891C67"/>
    <w:rsid w:val="008B6D5E"/>
    <w:rsid w:val="008C2CC4"/>
    <w:rsid w:val="008C7B86"/>
    <w:rsid w:val="008D359C"/>
    <w:rsid w:val="008E10B7"/>
    <w:rsid w:val="008E2333"/>
    <w:rsid w:val="008E4E0F"/>
    <w:rsid w:val="008E736E"/>
    <w:rsid w:val="008F03D2"/>
    <w:rsid w:val="008F4957"/>
    <w:rsid w:val="008F5FB1"/>
    <w:rsid w:val="008F6DE4"/>
    <w:rsid w:val="00903BB2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95B43"/>
    <w:rsid w:val="009971AB"/>
    <w:rsid w:val="009A3DE5"/>
    <w:rsid w:val="009A6C98"/>
    <w:rsid w:val="009B1712"/>
    <w:rsid w:val="009C00EB"/>
    <w:rsid w:val="009C1EBB"/>
    <w:rsid w:val="009C463B"/>
    <w:rsid w:val="009D29FA"/>
    <w:rsid w:val="009E036E"/>
    <w:rsid w:val="009F5794"/>
    <w:rsid w:val="009F602F"/>
    <w:rsid w:val="00A03AA4"/>
    <w:rsid w:val="00A11ACF"/>
    <w:rsid w:val="00A21F6E"/>
    <w:rsid w:val="00A26EB0"/>
    <w:rsid w:val="00A27567"/>
    <w:rsid w:val="00A36B4E"/>
    <w:rsid w:val="00A52629"/>
    <w:rsid w:val="00A56BC8"/>
    <w:rsid w:val="00A619AA"/>
    <w:rsid w:val="00A724DF"/>
    <w:rsid w:val="00A77BC1"/>
    <w:rsid w:val="00A80214"/>
    <w:rsid w:val="00A84D14"/>
    <w:rsid w:val="00A91DF9"/>
    <w:rsid w:val="00AA1E2F"/>
    <w:rsid w:val="00AA308A"/>
    <w:rsid w:val="00AA3952"/>
    <w:rsid w:val="00AB7550"/>
    <w:rsid w:val="00AC0E72"/>
    <w:rsid w:val="00AD11F4"/>
    <w:rsid w:val="00AD3814"/>
    <w:rsid w:val="00AD5B97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55223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2E8C"/>
    <w:rsid w:val="00C94A0B"/>
    <w:rsid w:val="00CA56E9"/>
    <w:rsid w:val="00CB3A13"/>
    <w:rsid w:val="00CB434C"/>
    <w:rsid w:val="00CB7C39"/>
    <w:rsid w:val="00CD3D1D"/>
    <w:rsid w:val="00CE0DE4"/>
    <w:rsid w:val="00CE2AB3"/>
    <w:rsid w:val="00CE408B"/>
    <w:rsid w:val="00CE5ECF"/>
    <w:rsid w:val="00CF3890"/>
    <w:rsid w:val="00CF4D95"/>
    <w:rsid w:val="00CF5168"/>
    <w:rsid w:val="00D0602A"/>
    <w:rsid w:val="00D109E6"/>
    <w:rsid w:val="00D11E6D"/>
    <w:rsid w:val="00D12E53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59D0"/>
    <w:rsid w:val="00DC6415"/>
    <w:rsid w:val="00DD00F3"/>
    <w:rsid w:val="00DD65CA"/>
    <w:rsid w:val="00DE105D"/>
    <w:rsid w:val="00DE1FCF"/>
    <w:rsid w:val="00DE21CE"/>
    <w:rsid w:val="00DE3E25"/>
    <w:rsid w:val="00DE6DC4"/>
    <w:rsid w:val="00DE73A3"/>
    <w:rsid w:val="00E03681"/>
    <w:rsid w:val="00E11C94"/>
    <w:rsid w:val="00E11F4F"/>
    <w:rsid w:val="00E3377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D3225"/>
    <w:rsid w:val="00EF6615"/>
    <w:rsid w:val="00F00D95"/>
    <w:rsid w:val="00F038BC"/>
    <w:rsid w:val="00F050DB"/>
    <w:rsid w:val="00F071D8"/>
    <w:rsid w:val="00F31A99"/>
    <w:rsid w:val="00F343F2"/>
    <w:rsid w:val="00F369A4"/>
    <w:rsid w:val="00F408D6"/>
    <w:rsid w:val="00F41198"/>
    <w:rsid w:val="00F41F8B"/>
    <w:rsid w:val="00F42095"/>
    <w:rsid w:val="00F421F8"/>
    <w:rsid w:val="00F44D53"/>
    <w:rsid w:val="00F4759E"/>
    <w:rsid w:val="00F51B71"/>
    <w:rsid w:val="00F577DE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86D0C"/>
    <w:rsid w:val="00F912D1"/>
    <w:rsid w:val="00F93153"/>
    <w:rsid w:val="00F95CC4"/>
    <w:rsid w:val="00FA2CC7"/>
    <w:rsid w:val="00FA2D02"/>
    <w:rsid w:val="00FA43E3"/>
    <w:rsid w:val="00FB4FA2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F2015"/>
  <w15:docId w15:val="{46B85296-268F-4D6A-B850-B151D1CF4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58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07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197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8307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197D"/>
    <w:rPr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830785"/>
    <w:pPr>
      <w:ind w:left="2880" w:hanging="2880"/>
    </w:pPr>
    <w:rPr>
      <w:rFonts w:ascii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36673"/>
    <w:rPr>
      <w:rFonts w:ascii="Times" w:eastAsia="Times New Roman" w:hAnsi="Times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210B4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97D"/>
    <w:rPr>
      <w:sz w:val="0"/>
      <w:szCs w:val="0"/>
      <w:lang w:val="en-US" w:eastAsia="en-US"/>
    </w:rPr>
  </w:style>
  <w:style w:type="character" w:styleId="Hyperlink">
    <w:name w:val="Hyperlink"/>
    <w:basedOn w:val="DefaultParagraphFont"/>
    <w:uiPriority w:val="99"/>
    <w:rsid w:val="00C15EC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B5522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52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97D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552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97D"/>
    <w:rPr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2017-06-16T12:26:00Z</dcterms:created>
  <dcterms:modified xsi:type="dcterms:W3CDTF">2017-06-16T12:26:00Z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