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2370AA6F" w:rsidR="00A174CC" w:rsidRPr="005E22C3" w:rsidRDefault="005E22C3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5E22C3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2020.030M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57E719DD" w:rsidR="00A174CC" w:rsidRDefault="008815EE" w:rsidP="006F26E4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Short title:</w:t>
            </w:r>
            <w:r w:rsidRPr="005A54C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F26E4">
              <w:rPr>
                <w:rFonts w:ascii="Arial" w:hAnsi="Arial" w:cs="Arial"/>
                <w:color w:val="000000" w:themeColor="text1"/>
                <w:sz w:val="20"/>
              </w:rPr>
              <w:t xml:space="preserve">Correction of </w:t>
            </w:r>
            <w:r w:rsidR="00F03612">
              <w:rPr>
                <w:rFonts w:ascii="Arial" w:hAnsi="Arial" w:cs="Arial"/>
                <w:color w:val="000000" w:themeColor="text1"/>
                <w:sz w:val="20"/>
              </w:rPr>
              <w:t>mistakes</w:t>
            </w:r>
            <w:r w:rsidR="006F26E4">
              <w:rPr>
                <w:rFonts w:ascii="Arial" w:hAnsi="Arial" w:cs="Arial"/>
                <w:color w:val="000000" w:themeColor="text1"/>
                <w:sz w:val="20"/>
              </w:rPr>
              <w:t xml:space="preserve"> inadvertently introduced into phylum </w:t>
            </w:r>
            <w:proofErr w:type="spellStart"/>
            <w:r w:rsidR="006F26E4">
              <w:rPr>
                <w:rFonts w:ascii="Arial" w:hAnsi="Arial" w:cs="Arial"/>
                <w:i/>
                <w:iCs/>
                <w:color w:val="000000" w:themeColor="text1"/>
                <w:sz w:val="20"/>
              </w:rPr>
              <w:t>Negarnaviricota</w:t>
            </w:r>
            <w:proofErr w:type="spellEnd"/>
            <w:r w:rsidR="006F26E4">
              <w:rPr>
                <w:rFonts w:ascii="Arial" w:hAnsi="Arial" w:cs="Arial"/>
                <w:color w:val="000000" w:themeColor="text1"/>
                <w:sz w:val="20"/>
              </w:rPr>
              <w:t xml:space="preserve"> taxonomy in 2020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6F26E4">
        <w:tc>
          <w:tcPr>
            <w:tcW w:w="4368" w:type="dxa"/>
            <w:shd w:val="clear" w:color="auto" w:fill="auto"/>
          </w:tcPr>
          <w:p w14:paraId="5B4DA008" w14:textId="700E414E" w:rsidR="00A174CC" w:rsidRDefault="0086358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Kuhn, Jens H.</w:t>
            </w:r>
          </w:p>
        </w:tc>
        <w:tc>
          <w:tcPr>
            <w:tcW w:w="4704" w:type="dxa"/>
            <w:shd w:val="clear" w:color="auto" w:fill="auto"/>
          </w:tcPr>
          <w:p w14:paraId="4C0145EC" w14:textId="089CAEA6" w:rsidR="00A174CC" w:rsidRDefault="007B433E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86358A">
                <w:rPr>
                  <w:rStyle w:val="Hyperlink"/>
                  <w:rFonts w:ascii="Arial" w:eastAsia="Times" w:hAnsi="Arial" w:cs="Arial"/>
                  <w:sz w:val="22"/>
                  <w:szCs w:val="22"/>
                </w:rPr>
                <w:t>kuhnjens@mail.nih.gov</w:t>
              </w:r>
            </w:hyperlink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02B7417F" w:rsidR="00A174CC" w:rsidRDefault="006F26E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Kuhn, Jens H.; </w:t>
            </w:r>
            <w:hyperlink r:id="rId9" w:history="1">
              <w:r>
                <w:rPr>
                  <w:rStyle w:val="Hyperlink"/>
                  <w:rFonts w:ascii="Arial" w:eastAsia="Times" w:hAnsi="Arial" w:cs="Arial"/>
                  <w:sz w:val="22"/>
                  <w:szCs w:val="22"/>
                </w:rPr>
                <w:t>kuhnjens@mail.nih.gov</w:t>
              </w:r>
            </w:hyperlink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238A9C15" w:rsidR="00A174CC" w:rsidRDefault="006F26E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ICTV 2017</w:t>
            </w:r>
            <w:r w:rsidR="00F03612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2020 </w:t>
            </w:r>
            <w:proofErr w:type="spellStart"/>
            <w:r w:rsidRPr="006F26E4">
              <w:rPr>
                <w:rFonts w:ascii="Arial" w:hAnsi="Arial" w:cs="Arial"/>
                <w:i/>
                <w:iCs/>
                <w:sz w:val="22"/>
                <w:szCs w:val="22"/>
              </w:rPr>
              <w:t>Jingchuvirales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6F26E4">
              <w:rPr>
                <w:rFonts w:ascii="Arial" w:hAnsi="Arial" w:cs="Arial"/>
                <w:i/>
                <w:iCs/>
                <w:sz w:val="22"/>
                <w:szCs w:val="22"/>
              </w:rPr>
              <w:t>Rhabdoviridae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6F26E4">
              <w:rPr>
                <w:rFonts w:ascii="Arial" w:hAnsi="Arial" w:cs="Arial"/>
                <w:i/>
                <w:iCs/>
                <w:sz w:val="22"/>
                <w:szCs w:val="22"/>
              </w:rPr>
              <w:t>Nairoviridae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6F26E4">
              <w:rPr>
                <w:rFonts w:ascii="Arial" w:hAnsi="Arial" w:cs="Arial"/>
                <w:i/>
                <w:iCs/>
                <w:sz w:val="22"/>
                <w:szCs w:val="22"/>
              </w:rPr>
              <w:t>Peribunyaviridae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and </w:t>
            </w:r>
            <w:proofErr w:type="spellStart"/>
            <w:r w:rsidRPr="006F26E4">
              <w:rPr>
                <w:rFonts w:ascii="Arial" w:hAnsi="Arial" w:cs="Arial"/>
                <w:i/>
                <w:iCs/>
                <w:sz w:val="22"/>
                <w:szCs w:val="22"/>
              </w:rPr>
              <w:t>Phenuiviridae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Study Groups, as well as all other 2017</w:t>
            </w:r>
            <w:r w:rsidR="0086358A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>2020 negative-sense RNA virus Study Groups</w:t>
            </w:r>
            <w:r w:rsidR="0086358A">
              <w:rPr>
                <w:rFonts w:ascii="Arial" w:hAnsi="Arial" w:cs="Arial"/>
                <w:sz w:val="22"/>
                <w:szCs w:val="22"/>
              </w:rPr>
              <w:t xml:space="preserve"> (via joint writing of the forthcoming </w:t>
            </w:r>
            <w:r w:rsidR="0086358A" w:rsidRPr="0086358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Arch </w:t>
            </w:r>
            <w:proofErr w:type="spellStart"/>
            <w:r w:rsidR="0086358A" w:rsidRPr="0086358A">
              <w:rPr>
                <w:rFonts w:ascii="Arial" w:hAnsi="Arial" w:cs="Arial"/>
                <w:i/>
                <w:iCs/>
                <w:sz w:val="22"/>
                <w:szCs w:val="22"/>
              </w:rPr>
              <w:t>Virol</w:t>
            </w:r>
            <w:proofErr w:type="spellEnd"/>
            <w:r w:rsidR="0086358A">
              <w:rPr>
                <w:rFonts w:ascii="Arial" w:hAnsi="Arial" w:cs="Arial"/>
                <w:sz w:val="22"/>
                <w:szCs w:val="22"/>
              </w:rPr>
              <w:t xml:space="preserve"> VDN article “</w:t>
            </w:r>
            <w:r w:rsidR="0086358A" w:rsidRPr="0086358A">
              <w:rPr>
                <w:rFonts w:ascii="Arial" w:hAnsi="Arial" w:cs="Arial"/>
                <w:sz w:val="22"/>
                <w:szCs w:val="22"/>
              </w:rPr>
              <w:t xml:space="preserve">2021 taxonomic update of phylum </w:t>
            </w:r>
            <w:proofErr w:type="spellStart"/>
            <w:r w:rsidR="0086358A" w:rsidRPr="0086358A">
              <w:rPr>
                <w:rFonts w:ascii="Arial" w:hAnsi="Arial" w:cs="Arial"/>
                <w:i/>
                <w:iCs/>
                <w:sz w:val="22"/>
                <w:szCs w:val="22"/>
              </w:rPr>
              <w:t>Negarnaviricota</w:t>
            </w:r>
            <w:proofErr w:type="spellEnd"/>
            <w:r w:rsidR="0086358A" w:rsidRPr="0086358A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="0086358A" w:rsidRPr="0086358A">
              <w:rPr>
                <w:rFonts w:ascii="Arial" w:hAnsi="Arial" w:cs="Arial"/>
                <w:i/>
                <w:iCs/>
                <w:sz w:val="22"/>
                <w:szCs w:val="22"/>
              </w:rPr>
              <w:t>Riboviria</w:t>
            </w:r>
            <w:proofErr w:type="spellEnd"/>
            <w:r w:rsidR="0086358A" w:rsidRPr="0086358A">
              <w:rPr>
                <w:rFonts w:ascii="Arial" w:hAnsi="Arial" w:cs="Arial"/>
                <w:sz w:val="22"/>
                <w:szCs w:val="22"/>
              </w:rPr>
              <w:t xml:space="preserve">: </w:t>
            </w:r>
            <w:proofErr w:type="spellStart"/>
            <w:r w:rsidR="0086358A" w:rsidRPr="0086358A">
              <w:rPr>
                <w:rFonts w:ascii="Arial" w:hAnsi="Arial" w:cs="Arial"/>
                <w:i/>
                <w:iCs/>
                <w:sz w:val="22"/>
                <w:szCs w:val="22"/>
              </w:rPr>
              <w:t>Orthornavirae</w:t>
            </w:r>
            <w:proofErr w:type="spellEnd"/>
            <w:r w:rsidR="0086358A" w:rsidRPr="0086358A">
              <w:rPr>
                <w:rFonts w:ascii="Arial" w:hAnsi="Arial" w:cs="Arial"/>
                <w:sz w:val="22"/>
                <w:szCs w:val="22"/>
              </w:rPr>
              <w:t xml:space="preserve">), including the large orders </w:t>
            </w:r>
            <w:proofErr w:type="spellStart"/>
            <w:r w:rsidR="0086358A" w:rsidRPr="0086358A">
              <w:rPr>
                <w:rFonts w:ascii="Arial" w:hAnsi="Arial" w:cs="Arial"/>
                <w:i/>
                <w:iCs/>
                <w:sz w:val="22"/>
                <w:szCs w:val="22"/>
              </w:rPr>
              <w:t>Bunyavirales</w:t>
            </w:r>
            <w:proofErr w:type="spellEnd"/>
            <w:r w:rsidR="0086358A" w:rsidRPr="008635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6358A">
              <w:rPr>
                <w:rFonts w:ascii="Arial" w:hAnsi="Arial" w:cs="Arial"/>
                <w:sz w:val="22"/>
                <w:szCs w:val="22"/>
              </w:rPr>
              <w:t>and</w:t>
            </w:r>
            <w:r w:rsidR="0086358A" w:rsidRPr="0086358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6358A" w:rsidRPr="0086358A">
              <w:rPr>
                <w:rFonts w:ascii="Arial" w:hAnsi="Arial" w:cs="Arial"/>
                <w:i/>
                <w:iCs/>
                <w:sz w:val="22"/>
                <w:szCs w:val="22"/>
              </w:rPr>
              <w:t>Mononegavirales</w:t>
            </w:r>
            <w:proofErr w:type="spellEnd"/>
            <w:r w:rsidR="0086358A">
              <w:rPr>
                <w:rFonts w:ascii="Arial" w:hAnsi="Arial" w:cs="Arial"/>
                <w:sz w:val="22"/>
                <w:szCs w:val="22"/>
              </w:rPr>
              <w:t xml:space="preserve">” co-authored by all </w:t>
            </w:r>
            <w:r w:rsidR="00376058">
              <w:rPr>
                <w:rFonts w:ascii="Arial" w:hAnsi="Arial" w:cs="Arial"/>
                <w:sz w:val="22"/>
                <w:szCs w:val="22"/>
              </w:rPr>
              <w:t xml:space="preserve">these </w:t>
            </w:r>
            <w:r w:rsidR="0086358A">
              <w:rPr>
                <w:rFonts w:ascii="Arial" w:hAnsi="Arial" w:cs="Arial"/>
                <w:sz w:val="22"/>
                <w:szCs w:val="22"/>
              </w:rPr>
              <w:t>Study Groups)</w:t>
            </w:r>
          </w:p>
        </w:tc>
      </w:tr>
    </w:tbl>
    <w:p w14:paraId="7417E8C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46DB2EB4" w:rsidR="00A174CC" w:rsidRDefault="006F26E4" w:rsidP="006F26E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There was no opposition to this proposal.</w:t>
            </w: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640E9C93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D12E7F">
              <w:rPr>
                <w:rFonts w:ascii="Arial" w:hAnsi="Arial" w:cs="Arial"/>
                <w:sz w:val="22"/>
                <w:szCs w:val="22"/>
              </w:rPr>
              <w:t>the EC</w:t>
            </w:r>
          </w:p>
        </w:tc>
        <w:tc>
          <w:tcPr>
            <w:tcW w:w="4252" w:type="dxa"/>
            <w:shd w:val="clear" w:color="auto" w:fill="auto"/>
          </w:tcPr>
          <w:p w14:paraId="30B8652F" w14:textId="5D19A59D" w:rsidR="00A174CC" w:rsidRDefault="006F26E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April </w:t>
            </w:r>
            <w:r w:rsidR="00D12E7F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, 2021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134D3694" w:rsidR="00A174CC" w:rsidRDefault="005E22C3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proofErr w:type="gramStart"/>
            <w:r>
              <w:rPr>
                <w:rFonts w:ascii="Arial" w:hAnsi="Arial" w:cs="Arial"/>
                <w:bCs/>
                <w:sz w:val="22"/>
                <w:szCs w:val="22"/>
              </w:rPr>
              <w:t>030M.R.</w:t>
            </w:r>
            <w:r w:rsidR="006F26E4">
              <w:rPr>
                <w:rFonts w:ascii="Arial" w:hAnsi="Arial" w:cs="Arial"/>
                <w:bCs/>
                <w:sz w:val="22"/>
                <w:szCs w:val="22"/>
              </w:rPr>
              <w:t>Negarnaviricota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>_c</w:t>
            </w:r>
            <w:r w:rsidR="006F26E4">
              <w:rPr>
                <w:rFonts w:ascii="Arial" w:hAnsi="Arial" w:cs="Arial"/>
                <w:bCs/>
                <w:sz w:val="22"/>
                <w:szCs w:val="22"/>
              </w:rPr>
              <w:t>orrections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46CA7E44" w:rsidR="00A174CC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1466347E" w:rsidR="00A174CC" w:rsidRDefault="006F26E4" w:rsidP="00F0361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In 2020, several minor orthographic mistakes were made during the naming process of four species, and the formal deletion of four species was accidentally deleted in a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TaxoProp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Excel file. Here we proposed to rectify these errors</w:t>
            </w:r>
            <w:r w:rsidR="00F03612">
              <w:rPr>
                <w:rFonts w:ascii="Arial" w:hAnsi="Arial" w:cs="Arial"/>
                <w:bCs/>
                <w:sz w:val="22"/>
                <w:szCs w:val="22"/>
              </w:rPr>
              <w:t xml:space="preserve"> using the novel expedited correction process (</w:t>
            </w:r>
            <w:proofErr w:type="spellStart"/>
            <w:r w:rsidR="00F03612">
              <w:rPr>
                <w:rFonts w:ascii="Arial" w:hAnsi="Arial" w:cs="Arial"/>
                <w:bCs/>
                <w:sz w:val="22"/>
                <w:szCs w:val="22"/>
              </w:rPr>
              <w:t>TaxoProp</w:t>
            </w:r>
            <w:proofErr w:type="spellEnd"/>
            <w:r w:rsidR="00F0361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gramStart"/>
            <w:r w:rsidR="00F03612" w:rsidRPr="00F03612">
              <w:rPr>
                <w:rFonts w:ascii="Arial" w:hAnsi="Arial" w:cs="Arial"/>
                <w:bCs/>
                <w:sz w:val="22"/>
                <w:szCs w:val="22"/>
              </w:rPr>
              <w:t>2020.002G.R</w:t>
            </w:r>
            <w:proofErr w:type="gramEnd"/>
            <w:r w:rsidR="00F03612" w:rsidRPr="00F03612">
              <w:rPr>
                <w:rFonts w:ascii="Arial" w:hAnsi="Arial" w:cs="Arial"/>
                <w:bCs/>
                <w:sz w:val="22"/>
                <w:szCs w:val="22"/>
              </w:rPr>
              <w:t>.Expedited_error_correction</w:t>
            </w:r>
            <w:r w:rsidR="00F03612">
              <w:rPr>
                <w:rFonts w:ascii="Arial" w:hAnsi="Arial" w:cs="Arial"/>
                <w:bCs/>
                <w:sz w:val="22"/>
                <w:szCs w:val="22"/>
              </w:rPr>
              <w:t>) ratified in March of 2021.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2C54E958" w14:textId="227D3355" w:rsidR="006F26E4" w:rsidRPr="00B70595" w:rsidRDefault="00F03612" w:rsidP="006F26E4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lastRenderedPageBreak/>
                    <w:t>D</w:t>
                  </w:r>
                  <w:r w:rsidR="006F26E4" w:rsidRPr="00B70595">
                    <w:rPr>
                      <w:lang w:val="en-GB"/>
                    </w:rPr>
                    <w:t xml:space="preserve">uring the 2020 taxonomic proposal process, several </w:t>
                  </w:r>
                  <w:r>
                    <w:rPr>
                      <w:lang w:val="en-GB"/>
                    </w:rPr>
                    <w:t xml:space="preserve">mistakes </w:t>
                  </w:r>
                  <w:r w:rsidR="006F26E4" w:rsidRPr="00B70595">
                    <w:rPr>
                      <w:lang w:val="en-GB"/>
                    </w:rPr>
                    <w:t xml:space="preserve">were inadvertently introduced into phylum </w:t>
                  </w:r>
                  <w:proofErr w:type="spellStart"/>
                  <w:r w:rsidR="006F26E4" w:rsidRPr="00B70595">
                    <w:rPr>
                      <w:i/>
                      <w:iCs/>
                      <w:lang w:val="en-GB"/>
                    </w:rPr>
                    <w:t>Negarnaviricota</w:t>
                  </w:r>
                  <w:proofErr w:type="spellEnd"/>
                  <w:r w:rsidR="006F26E4" w:rsidRPr="00B70595">
                    <w:rPr>
                      <w:lang w:val="en-GB"/>
                    </w:rPr>
                    <w:t xml:space="preserve"> taxonomy:</w:t>
                  </w:r>
                </w:p>
                <w:p w14:paraId="52DA080F" w14:textId="77777777" w:rsidR="006F26E4" w:rsidRPr="00B70595" w:rsidRDefault="006F26E4" w:rsidP="006F26E4">
                  <w:pPr>
                    <w:pStyle w:val="ListParagraph"/>
                    <w:rPr>
                      <w:lang w:val="en-GB"/>
                    </w:rPr>
                  </w:pPr>
                </w:p>
                <w:p w14:paraId="7B4409AE" w14:textId="29516AE7" w:rsidR="006F26E4" w:rsidRPr="00B70595" w:rsidRDefault="006F26E4" w:rsidP="006F26E4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lang w:val="en-GB"/>
                    </w:rPr>
                  </w:pPr>
                  <w:r w:rsidRPr="00B70595">
                    <w:rPr>
                      <w:lang w:val="en-GB"/>
                    </w:rPr>
                    <w:t xml:space="preserve">Due to oversights, </w:t>
                  </w:r>
                  <w:r w:rsidR="00B70595" w:rsidRPr="00B70595">
                    <w:rPr>
                      <w:lang w:val="en-GB"/>
                    </w:rPr>
                    <w:t>four</w:t>
                  </w:r>
                  <w:r w:rsidRPr="00B70595">
                    <w:rPr>
                      <w:lang w:val="en-GB"/>
                    </w:rPr>
                    <w:t xml:space="preserve"> novel species names were misspelled. Here, it is proposed to correct those misspellings:</w:t>
                  </w:r>
                </w:p>
                <w:p w14:paraId="7C345BA2" w14:textId="40FEC384" w:rsidR="006F26E4" w:rsidRPr="00B70595" w:rsidRDefault="00B70595" w:rsidP="00F0361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i/>
                      <w:iCs/>
                      <w:lang w:val="en-GB"/>
                    </w:rPr>
                  </w:pPr>
                  <w:proofErr w:type="spellStart"/>
                  <w:r w:rsidRPr="00B70595">
                    <w:rPr>
                      <w:i/>
                      <w:iCs/>
                      <w:lang w:val="en-GB"/>
                    </w:rPr>
                    <w:t>Zhe</w:t>
                  </w:r>
                  <w:r w:rsidRPr="00B70595">
                    <w:rPr>
                      <w:i/>
                      <w:iCs/>
                      <w:u w:val="single"/>
                      <w:lang w:val="en-GB"/>
                    </w:rPr>
                    <w:t>zh</w:t>
                  </w:r>
                  <w:r w:rsidRPr="00B70595">
                    <w:rPr>
                      <w:i/>
                      <w:iCs/>
                      <w:lang w:val="en-GB"/>
                    </w:rPr>
                    <w:t>ang</w:t>
                  </w:r>
                  <w:proofErr w:type="spellEnd"/>
                  <w:r w:rsidRPr="00B70595">
                    <w:rPr>
                      <w:i/>
                      <w:iCs/>
                      <w:lang w:val="en-GB"/>
                    </w:rPr>
                    <w:t xml:space="preserve"> </w:t>
                  </w:r>
                  <w:proofErr w:type="spellStart"/>
                  <w:r w:rsidRPr="00B70595">
                    <w:rPr>
                      <w:i/>
                      <w:iCs/>
                      <w:lang w:val="en-GB"/>
                    </w:rPr>
                    <w:t>alphacrustrhavirus</w:t>
                  </w:r>
                  <w:proofErr w:type="spellEnd"/>
                  <w:r w:rsidRPr="00B70595">
                    <w:rPr>
                      <w:i/>
                      <w:iCs/>
                      <w:lang w:val="en-GB"/>
                    </w:rPr>
                    <w:t xml:space="preserve"> </w:t>
                  </w:r>
                  <w:r w:rsidR="00F03612" w:rsidRPr="00F47F65">
                    <w:rPr>
                      <w:iCs/>
                      <w:lang w:val="en"/>
                    </w:rPr>
                    <w:t>(</w:t>
                  </w:r>
                  <w:proofErr w:type="spellStart"/>
                  <w:r w:rsidR="00F03612" w:rsidRPr="00F47F65">
                    <w:rPr>
                      <w:iCs/>
                      <w:lang w:val="en"/>
                    </w:rPr>
                    <w:t>TaxoProp</w:t>
                  </w:r>
                  <w:proofErr w:type="spellEnd"/>
                  <w:r w:rsidR="00F03612" w:rsidRPr="00F47F65">
                    <w:rPr>
                      <w:iCs/>
                      <w:lang w:val="en"/>
                    </w:rPr>
                    <w:t xml:space="preserve"> </w:t>
                  </w:r>
                  <w:proofErr w:type="gramStart"/>
                  <w:r w:rsidR="00F03612" w:rsidRPr="00F47F65">
                    <w:rPr>
                      <w:iCs/>
                      <w:lang w:val="en"/>
                    </w:rPr>
                    <w:t>2020.023M.A</w:t>
                  </w:r>
                  <w:proofErr w:type="gramEnd"/>
                  <w:r w:rsidR="00F03612" w:rsidRPr="00F47F65">
                    <w:rPr>
                      <w:iCs/>
                      <w:lang w:val="en"/>
                    </w:rPr>
                    <w:t>.v1.Rhabdoviridae_7ngen_16nsp)</w:t>
                  </w:r>
                  <w:r w:rsidR="00F03612">
                    <w:rPr>
                      <w:iCs/>
                      <w:lang w:val="en"/>
                    </w:rPr>
                    <w:t xml:space="preserve"> </w:t>
                  </w:r>
                  <w:r w:rsidR="006F26E4" w:rsidRPr="00B70595">
                    <w:rPr>
                      <w:i/>
                      <w:iCs/>
                      <w:lang w:val="en-GB"/>
                    </w:rPr>
                    <w:t xml:space="preserve">→ </w:t>
                  </w:r>
                  <w:r w:rsidRPr="00B70595">
                    <w:rPr>
                      <w:i/>
                      <w:iCs/>
                      <w:lang w:val="en-GB"/>
                    </w:rPr>
                    <w:t>Zhe</w:t>
                  </w:r>
                  <w:r w:rsidRPr="00B70595">
                    <w:rPr>
                      <w:i/>
                      <w:iCs/>
                      <w:u w:val="single"/>
                      <w:lang w:val="en-GB"/>
                    </w:rPr>
                    <w:t>ji</w:t>
                  </w:r>
                  <w:r w:rsidRPr="00B70595">
                    <w:rPr>
                      <w:i/>
                      <w:iCs/>
                      <w:lang w:val="en-GB"/>
                    </w:rPr>
                    <w:t xml:space="preserve">ang </w:t>
                  </w:r>
                  <w:proofErr w:type="spellStart"/>
                  <w:r w:rsidRPr="00B70595">
                    <w:rPr>
                      <w:i/>
                      <w:iCs/>
                      <w:lang w:val="en-GB"/>
                    </w:rPr>
                    <w:t>alphacrustrhavirus</w:t>
                  </w:r>
                  <w:proofErr w:type="spellEnd"/>
                  <w:r w:rsidR="00F03612">
                    <w:rPr>
                      <w:lang w:val="en-GB"/>
                    </w:rPr>
                    <w:t>;</w:t>
                  </w:r>
                </w:p>
                <w:p w14:paraId="7FAC46C4" w14:textId="6BDB3C77" w:rsidR="006F26E4" w:rsidRPr="00B70595" w:rsidRDefault="00B70595" w:rsidP="00F03612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i/>
                      <w:iCs/>
                      <w:lang w:val="en-GB"/>
                    </w:rPr>
                  </w:pPr>
                  <w:proofErr w:type="spellStart"/>
                  <w:r w:rsidRPr="00B70595">
                    <w:rPr>
                      <w:i/>
                      <w:iCs/>
                      <w:lang w:val="en-GB"/>
                    </w:rPr>
                    <w:t>Saphire</w:t>
                  </w:r>
                  <w:proofErr w:type="spellEnd"/>
                  <w:r w:rsidRPr="00B70595">
                    <w:rPr>
                      <w:i/>
                      <w:iCs/>
                      <w:lang w:val="en-GB"/>
                    </w:rPr>
                    <w:t xml:space="preserve"> </w:t>
                  </w:r>
                  <w:proofErr w:type="spellStart"/>
                  <w:r w:rsidRPr="00B70595">
                    <w:rPr>
                      <w:i/>
                      <w:iCs/>
                      <w:lang w:val="en-GB"/>
                    </w:rPr>
                    <w:t>orthonairovirus</w:t>
                  </w:r>
                  <w:proofErr w:type="spellEnd"/>
                  <w:r w:rsidRPr="00B70595">
                    <w:rPr>
                      <w:i/>
                      <w:iCs/>
                      <w:lang w:val="en-GB"/>
                    </w:rPr>
                    <w:t xml:space="preserve"> </w:t>
                  </w:r>
                  <w:r w:rsidR="00F03612">
                    <w:rPr>
                      <w:bCs/>
                      <w:iCs/>
                    </w:rPr>
                    <w:t>(</w:t>
                  </w:r>
                  <w:proofErr w:type="spellStart"/>
                  <w:r w:rsidR="00F03612" w:rsidRPr="00E22459">
                    <w:rPr>
                      <w:bCs/>
                      <w:iCs/>
                    </w:rPr>
                    <w:t>TaxoProp</w:t>
                  </w:r>
                  <w:proofErr w:type="spellEnd"/>
                  <w:r w:rsidR="00F03612" w:rsidRPr="00E22459">
                    <w:rPr>
                      <w:bCs/>
                      <w:iCs/>
                    </w:rPr>
                    <w:t xml:space="preserve"> </w:t>
                  </w:r>
                  <w:proofErr w:type="gramStart"/>
                  <w:r w:rsidR="00F03612" w:rsidRPr="00E22459">
                    <w:rPr>
                      <w:bCs/>
                      <w:iCs/>
                    </w:rPr>
                    <w:t>2020.027M.A</w:t>
                  </w:r>
                  <w:proofErr w:type="gramEnd"/>
                  <w:r w:rsidR="00F03612" w:rsidRPr="00E22459">
                    <w:rPr>
                      <w:bCs/>
                      <w:iCs/>
                    </w:rPr>
                    <w:t>.v1.Nairoviridae_4ngen_30nsp</w:t>
                  </w:r>
                  <w:r w:rsidR="00F03612">
                    <w:rPr>
                      <w:bCs/>
                      <w:iCs/>
                    </w:rPr>
                    <w:t xml:space="preserve">) </w:t>
                  </w:r>
                  <w:r w:rsidR="006F26E4" w:rsidRPr="00B70595">
                    <w:rPr>
                      <w:i/>
                      <w:iCs/>
                      <w:lang w:val="en-GB"/>
                    </w:rPr>
                    <w:t xml:space="preserve">→ </w:t>
                  </w:r>
                  <w:r w:rsidRPr="00B70595">
                    <w:rPr>
                      <w:i/>
                      <w:iCs/>
                      <w:lang w:val="en-GB"/>
                    </w:rPr>
                    <w:t>Sap</w:t>
                  </w:r>
                  <w:r w:rsidRPr="00B70595">
                    <w:rPr>
                      <w:i/>
                      <w:iCs/>
                      <w:u w:val="single"/>
                      <w:lang w:val="en-GB"/>
                    </w:rPr>
                    <w:t>p</w:t>
                  </w:r>
                  <w:r w:rsidRPr="00B70595">
                    <w:rPr>
                      <w:i/>
                      <w:iCs/>
                      <w:lang w:val="en-GB"/>
                    </w:rPr>
                    <w:t xml:space="preserve">hire </w:t>
                  </w:r>
                  <w:proofErr w:type="spellStart"/>
                  <w:r w:rsidRPr="00B70595">
                    <w:rPr>
                      <w:i/>
                      <w:iCs/>
                      <w:lang w:val="en-GB"/>
                    </w:rPr>
                    <w:t>orthonairovirus</w:t>
                  </w:r>
                  <w:proofErr w:type="spellEnd"/>
                  <w:r w:rsidR="00F03612">
                    <w:rPr>
                      <w:lang w:val="en-GB"/>
                    </w:rPr>
                    <w:t>;</w:t>
                  </w:r>
                </w:p>
                <w:p w14:paraId="694447A2" w14:textId="77777777" w:rsidR="008D46D8" w:rsidRPr="008D46D8" w:rsidRDefault="00B70595" w:rsidP="008D46D8">
                  <w:pPr>
                    <w:pStyle w:val="ListParagraph"/>
                    <w:numPr>
                      <w:ilvl w:val="0"/>
                      <w:numId w:val="8"/>
                    </w:numPr>
                  </w:pPr>
                  <w:r w:rsidRPr="00B70595">
                    <w:rPr>
                      <w:i/>
                      <w:iCs/>
                      <w:lang w:val="en-GB"/>
                    </w:rPr>
                    <w:t xml:space="preserve">Buffalo Creek </w:t>
                  </w:r>
                  <w:proofErr w:type="spellStart"/>
                  <w:r w:rsidRPr="00B70595">
                    <w:rPr>
                      <w:i/>
                      <w:iCs/>
                      <w:lang w:val="en-GB"/>
                    </w:rPr>
                    <w:t>or</w:t>
                  </w:r>
                  <w:r w:rsidRPr="00B70595">
                    <w:rPr>
                      <w:i/>
                      <w:iCs/>
                      <w:u w:val="single"/>
                      <w:lang w:val="en-GB"/>
                    </w:rPr>
                    <w:t>ht</w:t>
                  </w:r>
                  <w:r w:rsidRPr="00B70595">
                    <w:rPr>
                      <w:i/>
                      <w:iCs/>
                      <w:lang w:val="en-GB"/>
                    </w:rPr>
                    <w:t>obunyavirus</w:t>
                  </w:r>
                  <w:proofErr w:type="spellEnd"/>
                  <w:r w:rsidRPr="00B70595">
                    <w:rPr>
                      <w:i/>
                      <w:iCs/>
                      <w:lang w:val="en-GB"/>
                    </w:rPr>
                    <w:t xml:space="preserve"> </w:t>
                  </w:r>
                  <w:r w:rsidR="00F03612" w:rsidRPr="00F47F65">
                    <w:t>(</w:t>
                  </w:r>
                  <w:proofErr w:type="spellStart"/>
                  <w:r w:rsidR="00F03612">
                    <w:t>TaxoProp</w:t>
                  </w:r>
                  <w:proofErr w:type="spellEnd"/>
                  <w:r w:rsidR="00F03612">
                    <w:t xml:space="preserve"> </w:t>
                  </w:r>
                  <w:proofErr w:type="gramStart"/>
                  <w:r w:rsidR="00F03612" w:rsidRPr="00F47F65">
                    <w:t>2020.012M.A</w:t>
                  </w:r>
                  <w:proofErr w:type="gramEnd"/>
                  <w:r w:rsidR="00F03612" w:rsidRPr="00F47F65">
                    <w:t>.v1.Orthobunyavirus_16new_sp_abolish_1sp)</w:t>
                  </w:r>
                  <w:r w:rsidR="00F03612">
                    <w:t xml:space="preserve"> </w:t>
                  </w:r>
                  <w:r w:rsidR="006F26E4" w:rsidRPr="00B70595">
                    <w:rPr>
                      <w:i/>
                      <w:iCs/>
                      <w:lang w:val="en-GB"/>
                    </w:rPr>
                    <w:t xml:space="preserve">→ </w:t>
                  </w:r>
                  <w:r w:rsidRPr="00B70595">
                    <w:rPr>
                      <w:i/>
                      <w:iCs/>
                      <w:lang w:val="en-GB"/>
                    </w:rPr>
                    <w:t xml:space="preserve">Buffalo Creek </w:t>
                  </w:r>
                  <w:proofErr w:type="spellStart"/>
                  <w:r w:rsidRPr="00B70595">
                    <w:rPr>
                      <w:i/>
                      <w:iCs/>
                      <w:lang w:val="en-GB"/>
                    </w:rPr>
                    <w:t>or</w:t>
                  </w:r>
                  <w:r w:rsidRPr="00B70595">
                    <w:rPr>
                      <w:i/>
                      <w:iCs/>
                      <w:u w:val="single"/>
                      <w:lang w:val="en-GB"/>
                    </w:rPr>
                    <w:t>th</w:t>
                  </w:r>
                  <w:r w:rsidRPr="00B70595">
                    <w:rPr>
                      <w:i/>
                      <w:iCs/>
                      <w:lang w:val="en-GB"/>
                    </w:rPr>
                    <w:t>obunyavirus</w:t>
                  </w:r>
                  <w:proofErr w:type="spellEnd"/>
                  <w:r w:rsidR="00F03612">
                    <w:rPr>
                      <w:lang w:val="en-GB"/>
                    </w:rPr>
                    <w:t>; and</w:t>
                  </w:r>
                </w:p>
                <w:p w14:paraId="3482FCF9" w14:textId="77777777" w:rsidR="00A174CC" w:rsidRPr="00BD001E" w:rsidRDefault="00B70595" w:rsidP="00376058">
                  <w:pPr>
                    <w:pStyle w:val="ListParagraph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proofErr w:type="spellStart"/>
                  <w:r w:rsidRPr="008D46D8">
                    <w:rPr>
                      <w:i/>
                      <w:iCs/>
                    </w:rPr>
                    <w:t>Guad</w:t>
                  </w:r>
                  <w:r w:rsidRPr="008D46D8">
                    <w:rPr>
                      <w:i/>
                      <w:iCs/>
                      <w:u w:val="single"/>
                    </w:rPr>
                    <w:t>a</w:t>
                  </w:r>
                  <w:r w:rsidRPr="008D46D8">
                    <w:rPr>
                      <w:i/>
                      <w:iCs/>
                    </w:rPr>
                    <w:t>loupe</w:t>
                  </w:r>
                  <w:proofErr w:type="spellEnd"/>
                  <w:r w:rsidRPr="008D46D8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8D46D8">
                    <w:rPr>
                      <w:i/>
                      <w:iCs/>
                    </w:rPr>
                    <w:t>phasivirus</w:t>
                  </w:r>
                  <w:proofErr w:type="spellEnd"/>
                  <w:r w:rsidRPr="00B70595">
                    <w:t xml:space="preserve"> </w:t>
                  </w:r>
                  <w:r w:rsidR="00F03612" w:rsidRPr="008D46D8">
                    <w:rPr>
                      <w:bCs/>
                      <w:iCs/>
                    </w:rPr>
                    <w:t>(</w:t>
                  </w:r>
                  <w:proofErr w:type="spellStart"/>
                  <w:r w:rsidR="00F03612" w:rsidRPr="008D46D8">
                    <w:rPr>
                      <w:bCs/>
                      <w:iCs/>
                    </w:rPr>
                    <w:t>TaxoProp</w:t>
                  </w:r>
                  <w:proofErr w:type="spellEnd"/>
                  <w:r w:rsidR="00F03612" w:rsidRPr="008D46D8">
                    <w:rPr>
                      <w:bCs/>
                      <w:iCs/>
                    </w:rPr>
                    <w:t xml:space="preserve"> </w:t>
                  </w:r>
                  <w:proofErr w:type="gramStart"/>
                  <w:r w:rsidR="00F03612" w:rsidRPr="008D46D8">
                    <w:rPr>
                      <w:bCs/>
                      <w:iCs/>
                    </w:rPr>
                    <w:t>2020.029M.A</w:t>
                  </w:r>
                  <w:proofErr w:type="gramEnd"/>
                  <w:r w:rsidR="00F03612" w:rsidRPr="008D46D8">
                    <w:rPr>
                      <w:bCs/>
                      <w:iCs/>
                    </w:rPr>
                    <w:t xml:space="preserve">.v2.Phenuiviridae_1gen16sp) </w:t>
                  </w:r>
                  <w:r w:rsidRPr="008D46D8">
                    <w:rPr>
                      <w:i/>
                      <w:iCs/>
                      <w:lang w:val="en-GB"/>
                    </w:rPr>
                    <w:t>→ Guad</w:t>
                  </w:r>
                  <w:r w:rsidRPr="008D46D8">
                    <w:rPr>
                      <w:i/>
                      <w:iCs/>
                      <w:u w:val="single"/>
                      <w:lang w:val="en-GB"/>
                    </w:rPr>
                    <w:t>e</w:t>
                  </w:r>
                  <w:r w:rsidRPr="008D46D8">
                    <w:rPr>
                      <w:i/>
                      <w:iCs/>
                      <w:lang w:val="en-GB"/>
                    </w:rPr>
                    <w:t xml:space="preserve">loupe </w:t>
                  </w:r>
                  <w:proofErr w:type="spellStart"/>
                  <w:r w:rsidRPr="008D46D8">
                    <w:rPr>
                      <w:i/>
                      <w:iCs/>
                      <w:lang w:val="en-GB"/>
                    </w:rPr>
                    <w:t>phasivirus</w:t>
                  </w:r>
                  <w:proofErr w:type="spellEnd"/>
                  <w:r w:rsidR="00B865F9" w:rsidRPr="008D46D8">
                    <w:rPr>
                      <w:bCs/>
                      <w:iCs/>
                    </w:rPr>
                    <w:t>.</w:t>
                  </w:r>
                </w:p>
                <w:p w14:paraId="2E270418" w14:textId="77777777" w:rsidR="00BD001E" w:rsidRDefault="00BD001E" w:rsidP="00BD001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29D4D673" w14:textId="27163A82" w:rsidR="00BD001E" w:rsidRPr="00F03612" w:rsidRDefault="00BD001E" w:rsidP="00BD001E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lang w:val="en-GB"/>
                    </w:rPr>
                  </w:pPr>
                  <w:r w:rsidRPr="00B70595">
                    <w:rPr>
                      <w:rFonts w:eastAsia="MS Mincho"/>
                    </w:rPr>
                    <w:t xml:space="preserve">Due to an oversight in </w:t>
                  </w:r>
                  <w:proofErr w:type="spellStart"/>
                  <w:r w:rsidRPr="00B70595">
                    <w:t>TaxoProp</w:t>
                  </w:r>
                  <w:proofErr w:type="spellEnd"/>
                  <w:r w:rsidRPr="00B70595">
                    <w:t xml:space="preserve"> </w:t>
                  </w:r>
                  <w:proofErr w:type="gramStart"/>
                  <w:r w:rsidRPr="00B70595">
                    <w:t>2020.026M.A</w:t>
                  </w:r>
                  <w:proofErr w:type="gramEnd"/>
                  <w:r w:rsidRPr="00B70595">
                    <w:t>.v1.Jingchuvirales</w:t>
                  </w:r>
                  <w:r>
                    <w:t xml:space="preserve">, four species destined to be abolished because of lack of appropriate genome sequence information for their assigned viruses were not formally abolished in the </w:t>
                  </w:r>
                  <w:proofErr w:type="spellStart"/>
                  <w:r>
                    <w:t>TaxoProp’s</w:t>
                  </w:r>
                  <w:proofErr w:type="spellEnd"/>
                  <w:r>
                    <w:t xml:space="preserve"> Excel spreadsheet. The following species were and are again proposed to be deleted:</w:t>
                  </w:r>
                </w:p>
                <w:p w14:paraId="6533C96D" w14:textId="77777777" w:rsidR="00BD001E" w:rsidRPr="00F03612" w:rsidRDefault="00BD001E" w:rsidP="00BD001E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i/>
                      <w:iCs/>
                      <w:lang w:val="en-GB"/>
                    </w:rPr>
                  </w:pPr>
                  <w:r w:rsidRPr="00F03612">
                    <w:rPr>
                      <w:i/>
                      <w:iCs/>
                      <w:lang w:val="en-GB"/>
                    </w:rPr>
                    <w:t xml:space="preserve">Crustacean </w:t>
                  </w:r>
                  <w:proofErr w:type="spellStart"/>
                  <w:proofErr w:type="gramStart"/>
                  <w:r w:rsidRPr="00F03612">
                    <w:rPr>
                      <w:i/>
                      <w:iCs/>
                      <w:lang w:val="en-GB"/>
                    </w:rPr>
                    <w:t>mivirus</w:t>
                  </w:r>
                  <w:proofErr w:type="spellEnd"/>
                  <w:r>
                    <w:rPr>
                      <w:lang w:val="en-GB"/>
                    </w:rPr>
                    <w:t>;</w:t>
                  </w:r>
                  <w:proofErr w:type="gramEnd"/>
                </w:p>
                <w:p w14:paraId="0EC337A9" w14:textId="77777777" w:rsidR="00BD001E" w:rsidRPr="00F03612" w:rsidRDefault="00BD001E" w:rsidP="00BD001E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i/>
                      <w:iCs/>
                      <w:lang w:val="en-GB"/>
                    </w:rPr>
                  </w:pPr>
                  <w:r w:rsidRPr="00F03612">
                    <w:rPr>
                      <w:i/>
                      <w:iCs/>
                      <w:lang w:val="en-GB"/>
                    </w:rPr>
                    <w:t xml:space="preserve">Hermit </w:t>
                  </w:r>
                  <w:proofErr w:type="spellStart"/>
                  <w:proofErr w:type="gramStart"/>
                  <w:r w:rsidRPr="00F03612">
                    <w:rPr>
                      <w:i/>
                      <w:iCs/>
                      <w:lang w:val="en-GB"/>
                    </w:rPr>
                    <w:t>mivirus</w:t>
                  </w:r>
                  <w:proofErr w:type="spellEnd"/>
                  <w:r>
                    <w:rPr>
                      <w:lang w:val="en-GB"/>
                    </w:rPr>
                    <w:t>;</w:t>
                  </w:r>
                  <w:proofErr w:type="gramEnd"/>
                </w:p>
                <w:p w14:paraId="723B18CC" w14:textId="77777777" w:rsidR="00BD001E" w:rsidRPr="00F03612" w:rsidRDefault="00BD001E" w:rsidP="00BD001E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i/>
                      <w:iCs/>
                      <w:lang w:val="en-GB"/>
                    </w:rPr>
                  </w:pPr>
                  <w:r w:rsidRPr="00F03612">
                    <w:rPr>
                      <w:i/>
                      <w:iCs/>
                      <w:lang w:val="en-GB"/>
                    </w:rPr>
                    <w:t xml:space="preserve">Lacewing </w:t>
                  </w:r>
                  <w:proofErr w:type="spellStart"/>
                  <w:r w:rsidRPr="00F03612">
                    <w:rPr>
                      <w:i/>
                      <w:iCs/>
                      <w:lang w:val="en-GB"/>
                    </w:rPr>
                    <w:t>mivirus</w:t>
                  </w:r>
                  <w:proofErr w:type="spellEnd"/>
                  <w:r>
                    <w:rPr>
                      <w:lang w:val="en-GB"/>
                    </w:rPr>
                    <w:t>;</w:t>
                  </w:r>
                  <w:r>
                    <w:rPr>
                      <w:i/>
                      <w:iCs/>
                      <w:lang w:val="en-GB"/>
                    </w:rPr>
                    <w:t xml:space="preserve"> </w:t>
                  </w:r>
                  <w:r>
                    <w:rPr>
                      <w:lang w:val="en-GB"/>
                    </w:rPr>
                    <w:t>and</w:t>
                  </w:r>
                </w:p>
                <w:p w14:paraId="6033321C" w14:textId="77777777" w:rsidR="00BD001E" w:rsidRPr="00F03612" w:rsidRDefault="00BD001E" w:rsidP="00BD001E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i/>
                      <w:iCs/>
                      <w:lang w:val="en-GB"/>
                    </w:rPr>
                  </w:pPr>
                  <w:proofErr w:type="spellStart"/>
                  <w:r w:rsidRPr="00F03612">
                    <w:rPr>
                      <w:i/>
                      <w:iCs/>
                      <w:lang w:val="en-GB"/>
                    </w:rPr>
                    <w:t>Xinzhou</w:t>
                  </w:r>
                  <w:proofErr w:type="spellEnd"/>
                  <w:r w:rsidRPr="00F03612">
                    <w:rPr>
                      <w:i/>
                      <w:iCs/>
                      <w:lang w:val="en-GB"/>
                    </w:rPr>
                    <w:t xml:space="preserve"> </w:t>
                  </w:r>
                  <w:proofErr w:type="spellStart"/>
                  <w:r w:rsidRPr="00F03612">
                    <w:rPr>
                      <w:i/>
                      <w:iCs/>
                      <w:lang w:val="en-GB"/>
                    </w:rPr>
                    <w:t>mivirus</w:t>
                  </w:r>
                  <w:proofErr w:type="spellEnd"/>
                  <w:r>
                    <w:rPr>
                      <w:lang w:val="en-GB"/>
                    </w:rPr>
                    <w:t>.</w:t>
                  </w:r>
                </w:p>
                <w:p w14:paraId="65917C70" w14:textId="0547CA42" w:rsidR="00BD001E" w:rsidRPr="00BD001E" w:rsidRDefault="00BD001E" w:rsidP="00BD001E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556E8C1" w14:textId="31EB5583" w:rsidR="00A174CC" w:rsidRDefault="00A174CC"/>
    <w:sectPr w:rsidR="00A174CC">
      <w:headerReference w:type="default" r:id="rId10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EF8C49" w14:textId="77777777" w:rsidR="007B433E" w:rsidRDefault="007B433E">
      <w:r>
        <w:separator/>
      </w:r>
    </w:p>
  </w:endnote>
  <w:endnote w:type="continuationSeparator" w:id="0">
    <w:p w14:paraId="796D583A" w14:textId="77777777" w:rsidR="007B433E" w:rsidRDefault="007B4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altName w:val="PingFang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4C643" w14:textId="77777777" w:rsidR="007B433E" w:rsidRDefault="007B433E">
      <w:r>
        <w:separator/>
      </w:r>
    </w:p>
  </w:footnote>
  <w:footnote w:type="continuationSeparator" w:id="0">
    <w:p w14:paraId="7F60A853" w14:textId="77777777" w:rsidR="007B433E" w:rsidRDefault="007B4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EB404" w14:textId="77777777" w:rsidR="00A174CC" w:rsidRDefault="008815EE">
    <w:pPr>
      <w:pStyle w:val="Header"/>
      <w:jc w:val="right"/>
    </w:pPr>
    <w:r>
      <w:t>October 2020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43ED4"/>
    <w:multiLevelType w:val="hybridMultilevel"/>
    <w:tmpl w:val="CB66A958"/>
    <w:lvl w:ilvl="0" w:tplc="0FF6B2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0C3056"/>
    <w:multiLevelType w:val="hybridMultilevel"/>
    <w:tmpl w:val="1EDEA2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A86BBD"/>
    <w:multiLevelType w:val="hybridMultilevel"/>
    <w:tmpl w:val="A294AB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205DE"/>
    <w:multiLevelType w:val="hybridMultilevel"/>
    <w:tmpl w:val="0630E194"/>
    <w:lvl w:ilvl="0" w:tplc="5F48A22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1A192B"/>
    <w:multiLevelType w:val="hybridMultilevel"/>
    <w:tmpl w:val="5C70C9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376058"/>
    <w:rsid w:val="0043110C"/>
    <w:rsid w:val="004E22E2"/>
    <w:rsid w:val="00543F86"/>
    <w:rsid w:val="005A54C3"/>
    <w:rsid w:val="005E22C3"/>
    <w:rsid w:val="006F26E4"/>
    <w:rsid w:val="007B433E"/>
    <w:rsid w:val="0086358A"/>
    <w:rsid w:val="008815EE"/>
    <w:rsid w:val="008D46D8"/>
    <w:rsid w:val="00902E7D"/>
    <w:rsid w:val="0097554C"/>
    <w:rsid w:val="00A174CC"/>
    <w:rsid w:val="00B70595"/>
    <w:rsid w:val="00B865F9"/>
    <w:rsid w:val="00BD001E"/>
    <w:rsid w:val="00D12E7F"/>
    <w:rsid w:val="00F0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semiHidden/>
    <w:unhideWhenUsed/>
    <w:rsid w:val="006F26E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F2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hnjens@mail.nih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uhnjens@mail.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12</cp:revision>
  <dcterms:created xsi:type="dcterms:W3CDTF">2020-10-30T03:12:00Z</dcterms:created>
  <dcterms:modified xsi:type="dcterms:W3CDTF">2021-04-14T03:36:00Z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