
<file path=[Content_Types].xml><?xml version="1.0" encoding="utf-8"?>
<Types xmlns="http://schemas.openxmlformats.org/package/2006/content-types">
  <Default Extension="png" ContentType="image/png"/>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416AC" w14:textId="77777777" w:rsidR="00A174CC" w:rsidRDefault="008815EE">
      <w:r>
        <w:rPr>
          <w:noProof/>
          <w:lang w:val="de-CH" w:eastAsia="de-CH"/>
        </w:rPr>
        <w:drawing>
          <wp:anchor distT="0" distB="0" distL="114300" distR="114300" simplePos="0" relativeHeight="2" behindDoc="0" locked="0" layoutInCell="1" allowOverlap="1" wp14:anchorId="022C069D" wp14:editId="6E0667FC">
            <wp:simplePos x="0" y="0"/>
            <wp:positionH relativeFrom="column">
              <wp:posOffset>9525</wp:posOffset>
            </wp:positionH>
            <wp:positionV relativeFrom="paragraph">
              <wp:posOffset>55245</wp:posOffset>
            </wp:positionV>
            <wp:extent cx="1223010" cy="752475"/>
            <wp:effectExtent l="0" t="0" r="0" b="0"/>
            <wp:wrapSquare wrapText="bothSides"/>
            <wp:docPr id="1"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5"/>
                    <pic:cNvPicPr>
                      <a:picLocks noChangeAspect="1" noChangeArrowheads="1"/>
                    </pic:cNvPicPr>
                  </pic:nvPicPr>
                  <pic:blipFill>
                    <a:blip r:embed="rId7"/>
                    <a:stretch>
                      <a:fillRect/>
                    </a:stretch>
                  </pic:blipFill>
                  <pic:spPr bwMode="auto">
                    <a:xfrm>
                      <a:off x="0" y="0"/>
                      <a:ext cx="1223010" cy="752475"/>
                    </a:xfrm>
                    <a:prstGeom prst="rect">
                      <a:avLst/>
                    </a:prstGeom>
                  </pic:spPr>
                </pic:pic>
              </a:graphicData>
            </a:graphic>
          </wp:anchor>
        </w:drawing>
      </w:r>
    </w:p>
    <w:p w14:paraId="6E66958E" w14:textId="77777777" w:rsidR="00A174CC" w:rsidRDefault="00A174CC">
      <w:pPr>
        <w:rPr>
          <w:rFonts w:ascii="Arial" w:hAnsi="Arial" w:cs="Arial"/>
          <w:color w:val="0000FF"/>
          <w:sz w:val="20"/>
          <w:szCs w:val="20"/>
        </w:rPr>
      </w:pPr>
    </w:p>
    <w:p w14:paraId="708456F4" w14:textId="77777777" w:rsidR="00A174CC" w:rsidRDefault="00A174CC">
      <w:pPr>
        <w:rPr>
          <w:rFonts w:ascii="Arial" w:hAnsi="Arial" w:cs="Arial"/>
          <w:color w:val="0000FF"/>
          <w:sz w:val="20"/>
          <w:szCs w:val="20"/>
        </w:rPr>
      </w:pPr>
    </w:p>
    <w:p w14:paraId="2008BDE9" w14:textId="77777777" w:rsidR="00A174CC" w:rsidRDefault="00A174CC">
      <w:pPr>
        <w:rPr>
          <w:rFonts w:ascii="Arial" w:hAnsi="Arial" w:cs="Arial"/>
          <w:color w:val="0000FF"/>
          <w:sz w:val="20"/>
          <w:szCs w:val="20"/>
        </w:rPr>
      </w:pPr>
    </w:p>
    <w:p w14:paraId="0A6A6372" w14:textId="77777777" w:rsidR="00A174CC" w:rsidRDefault="00A174CC">
      <w:pPr>
        <w:rPr>
          <w:rFonts w:ascii="Arial" w:hAnsi="Arial" w:cs="Arial"/>
          <w:color w:val="0000FF"/>
          <w:sz w:val="20"/>
          <w:szCs w:val="20"/>
        </w:rPr>
      </w:pPr>
    </w:p>
    <w:p w14:paraId="2E75D10D" w14:textId="77777777" w:rsidR="00A174CC" w:rsidRDefault="00A174CC">
      <w:pPr>
        <w:rPr>
          <w:rFonts w:ascii="Arial" w:hAnsi="Arial" w:cs="Arial"/>
          <w:color w:val="0000FF"/>
          <w:sz w:val="20"/>
          <w:szCs w:val="20"/>
        </w:rPr>
      </w:pPr>
    </w:p>
    <w:p w14:paraId="78E1A1E2" w14:textId="77777777" w:rsidR="00A174CC" w:rsidRDefault="00A174CC">
      <w:pPr>
        <w:rPr>
          <w:rFonts w:ascii="Arial" w:hAnsi="Arial" w:cs="Arial"/>
          <w:color w:val="0000FF"/>
          <w:sz w:val="20"/>
          <w:szCs w:val="20"/>
        </w:rPr>
      </w:pPr>
    </w:p>
    <w:p w14:paraId="0F7038A3" w14:textId="77777777" w:rsidR="00A174CC" w:rsidRDefault="008815EE">
      <w:pPr>
        <w:rPr>
          <w:rFonts w:ascii="Arial" w:hAnsi="Arial" w:cs="Arial"/>
          <w:sz w:val="22"/>
          <w:szCs w:val="22"/>
          <w:lang w:val="en-GB"/>
        </w:rPr>
      </w:pPr>
      <w:r>
        <w:rPr>
          <w:rFonts w:ascii="Arial" w:hAnsi="Arial" w:cs="Arial"/>
          <w:b/>
          <w:color w:val="000000"/>
        </w:rPr>
        <w:t>Part 1:</w:t>
      </w:r>
      <w:r>
        <w:rPr>
          <w:rFonts w:ascii="Arial" w:hAnsi="Arial" w:cs="Arial"/>
          <w:color w:val="000000"/>
          <w:sz w:val="22"/>
          <w:szCs w:val="22"/>
        </w:rPr>
        <w:t xml:space="preserve"> </w:t>
      </w:r>
      <w:r>
        <w:rPr>
          <w:rFonts w:ascii="Arial" w:hAnsi="Arial" w:cs="Arial"/>
          <w:b/>
          <w:color w:val="000000"/>
          <w:sz w:val="22"/>
          <w:szCs w:val="22"/>
          <w:u w:val="single"/>
        </w:rPr>
        <w:t>TITLE, AUTHORS, APPROVALS, etc</w:t>
      </w:r>
    </w:p>
    <w:p w14:paraId="5F396E33" w14:textId="77777777" w:rsidR="00A174CC" w:rsidRDefault="00A174CC">
      <w:pPr>
        <w:rPr>
          <w:rFonts w:ascii="Arial" w:hAnsi="Arial" w:cs="Arial"/>
          <w:sz w:val="22"/>
          <w:szCs w:val="22"/>
          <w:lang w:val="en-GB"/>
        </w:rPr>
      </w:pPr>
    </w:p>
    <w:tbl>
      <w:tblPr>
        <w:tblW w:w="9072" w:type="dxa"/>
        <w:tblInd w:w="127" w:type="dxa"/>
        <w:tblLook w:val="04A0" w:firstRow="1" w:lastRow="0" w:firstColumn="1" w:lastColumn="0" w:noHBand="0" w:noVBand="1"/>
      </w:tblPr>
      <w:tblGrid>
        <w:gridCol w:w="3553"/>
        <w:gridCol w:w="4809"/>
        <w:gridCol w:w="710"/>
      </w:tblGrid>
      <w:tr w:rsidR="00A174CC" w14:paraId="6479468A" w14:textId="77777777">
        <w:tc>
          <w:tcPr>
            <w:tcW w:w="3553" w:type="dxa"/>
            <w:tcBorders>
              <w:top w:val="double" w:sz="4" w:space="0" w:color="000000"/>
              <w:left w:val="double" w:sz="4" w:space="0" w:color="000000"/>
              <w:right w:val="single" w:sz="4" w:space="0" w:color="000000"/>
            </w:tcBorders>
            <w:shd w:val="clear" w:color="auto" w:fill="auto"/>
            <w:vAlign w:val="center"/>
          </w:tcPr>
          <w:p w14:paraId="39458214" w14:textId="77777777" w:rsidR="00A174CC" w:rsidRDefault="008815EE">
            <w:pPr>
              <w:pStyle w:val="BodyTextIndent"/>
              <w:ind w:left="0" w:firstLine="0"/>
              <w:rPr>
                <w:rFonts w:ascii="Arial" w:hAnsi="Arial" w:cs="Arial"/>
                <w:b/>
                <w:i/>
                <w:sz w:val="36"/>
                <w:szCs w:val="36"/>
              </w:rPr>
            </w:pPr>
            <w:r>
              <w:rPr>
                <w:rFonts w:ascii="Arial" w:hAnsi="Arial" w:cs="Arial"/>
                <w:b/>
                <w:szCs w:val="24"/>
              </w:rPr>
              <w:t>Code assigned:</w:t>
            </w:r>
          </w:p>
        </w:tc>
        <w:tc>
          <w:tcPr>
            <w:tcW w:w="4809" w:type="dxa"/>
            <w:tcBorders>
              <w:top w:val="double" w:sz="4" w:space="0" w:color="000000"/>
              <w:left w:val="single" w:sz="4" w:space="0" w:color="000000"/>
              <w:bottom w:val="single" w:sz="4" w:space="0" w:color="000000"/>
              <w:right w:val="single" w:sz="4" w:space="0" w:color="000000"/>
            </w:tcBorders>
            <w:shd w:val="clear" w:color="auto" w:fill="auto"/>
          </w:tcPr>
          <w:p w14:paraId="3A9C1428" w14:textId="1A70393E" w:rsidR="00A174CC" w:rsidRPr="00B31F00" w:rsidRDefault="00B31F00">
            <w:pPr>
              <w:pStyle w:val="BodyTextIndent"/>
              <w:ind w:left="0" w:firstLine="0"/>
              <w:jc w:val="center"/>
              <w:rPr>
                <w:rFonts w:ascii="Arial" w:hAnsi="Arial" w:cs="Arial"/>
                <w:b/>
                <w:bCs/>
                <w:iCs/>
                <w:sz w:val="28"/>
                <w:szCs w:val="28"/>
              </w:rPr>
            </w:pPr>
            <w:r>
              <w:rPr>
                <w:rFonts w:ascii="Arial" w:hAnsi="Arial" w:cs="Arial"/>
                <w:b/>
                <w:bCs/>
                <w:iCs/>
                <w:sz w:val="28"/>
                <w:szCs w:val="28"/>
              </w:rPr>
              <w:t>2021.011M</w:t>
            </w:r>
          </w:p>
        </w:tc>
        <w:tc>
          <w:tcPr>
            <w:tcW w:w="710" w:type="dxa"/>
            <w:tcBorders>
              <w:top w:val="double" w:sz="4" w:space="0" w:color="000000"/>
              <w:left w:val="single" w:sz="4" w:space="0" w:color="000000"/>
              <w:right w:val="double" w:sz="4" w:space="0" w:color="000000"/>
            </w:tcBorders>
            <w:shd w:val="clear" w:color="auto" w:fill="auto"/>
            <w:vAlign w:val="center"/>
          </w:tcPr>
          <w:p w14:paraId="10BE02AC" w14:textId="77777777" w:rsidR="00A174CC" w:rsidRDefault="00A174CC">
            <w:pPr>
              <w:pStyle w:val="BodyTextIndent"/>
              <w:ind w:left="0" w:firstLine="0"/>
              <w:rPr>
                <w:rFonts w:ascii="Arial" w:hAnsi="Arial" w:cs="Arial"/>
              </w:rPr>
            </w:pPr>
          </w:p>
        </w:tc>
      </w:tr>
      <w:tr w:rsidR="00A174CC" w14:paraId="0AD321B2" w14:textId="77777777">
        <w:tc>
          <w:tcPr>
            <w:tcW w:w="9072" w:type="dxa"/>
            <w:gridSpan w:val="3"/>
            <w:tcBorders>
              <w:left w:val="double" w:sz="4" w:space="0" w:color="000000"/>
              <w:right w:val="double" w:sz="4" w:space="0" w:color="000000"/>
            </w:tcBorders>
            <w:shd w:val="clear" w:color="auto" w:fill="auto"/>
          </w:tcPr>
          <w:p w14:paraId="1B1B8BE9" w14:textId="317C1770" w:rsidR="00A174CC" w:rsidRPr="00144494" w:rsidRDefault="008815EE" w:rsidP="00B31F00">
            <w:pPr>
              <w:spacing w:before="240"/>
              <w:rPr>
                <w:rFonts w:ascii="Arial" w:hAnsi="Arial" w:cs="Arial"/>
                <w:b/>
              </w:rPr>
            </w:pPr>
            <w:r>
              <w:rPr>
                <w:rFonts w:ascii="Arial" w:hAnsi="Arial" w:cs="Arial"/>
                <w:b/>
              </w:rPr>
              <w:t>Short title:</w:t>
            </w:r>
            <w:r w:rsidRPr="005A54C3">
              <w:rPr>
                <w:rFonts w:ascii="Arial" w:hAnsi="Arial" w:cs="Arial"/>
                <w:bCs/>
                <w:sz w:val="20"/>
                <w:szCs w:val="20"/>
              </w:rPr>
              <w:t xml:space="preserve"> </w:t>
            </w:r>
            <w:r w:rsidR="00BC2E06" w:rsidRPr="00500E83">
              <w:rPr>
                <w:rFonts w:ascii="Arial" w:hAnsi="Arial" w:cs="Arial"/>
                <w:bCs/>
                <w:sz w:val="22"/>
                <w:szCs w:val="22"/>
              </w:rPr>
              <w:t xml:space="preserve">Create </w:t>
            </w:r>
            <w:r w:rsidR="00B0485E">
              <w:rPr>
                <w:rFonts w:ascii="Arial" w:hAnsi="Arial" w:cs="Arial"/>
                <w:bCs/>
                <w:sz w:val="22"/>
                <w:szCs w:val="22"/>
              </w:rPr>
              <w:t>one</w:t>
            </w:r>
            <w:r w:rsidR="00AB41A6" w:rsidRPr="00500E83">
              <w:rPr>
                <w:rFonts w:ascii="Arial" w:hAnsi="Arial" w:cs="Arial"/>
                <w:bCs/>
                <w:sz w:val="22"/>
                <w:szCs w:val="22"/>
              </w:rPr>
              <w:t xml:space="preserve"> </w:t>
            </w:r>
            <w:r w:rsidR="00BC2E06" w:rsidRPr="00500E83">
              <w:rPr>
                <w:rFonts w:ascii="Arial" w:hAnsi="Arial" w:cs="Arial"/>
                <w:bCs/>
                <w:sz w:val="22"/>
                <w:szCs w:val="22"/>
              </w:rPr>
              <w:t xml:space="preserve">new </w:t>
            </w:r>
            <w:r w:rsidR="00B0485E">
              <w:rPr>
                <w:rFonts w:ascii="Arial" w:hAnsi="Arial" w:cs="Arial"/>
                <w:bCs/>
                <w:sz w:val="22"/>
                <w:szCs w:val="22"/>
              </w:rPr>
              <w:t xml:space="preserve">genus and three new </w:t>
            </w:r>
            <w:r w:rsidR="00BC2E06" w:rsidRPr="00500E83">
              <w:rPr>
                <w:rFonts w:ascii="Arial" w:hAnsi="Arial" w:cs="Arial"/>
                <w:bCs/>
                <w:sz w:val="22"/>
                <w:szCs w:val="22"/>
              </w:rPr>
              <w:t xml:space="preserve">species </w:t>
            </w:r>
            <w:r w:rsidR="00B31F00">
              <w:rPr>
                <w:rFonts w:ascii="Arial" w:hAnsi="Arial" w:cs="Arial"/>
                <w:bCs/>
                <w:sz w:val="22"/>
                <w:szCs w:val="22"/>
              </w:rPr>
              <w:t>(</w:t>
            </w:r>
            <w:r w:rsidR="00B31F00" w:rsidRPr="00B31F00">
              <w:rPr>
                <w:rFonts w:ascii="Arial" w:hAnsi="Arial" w:cs="Arial"/>
                <w:bCs/>
                <w:i/>
                <w:iCs/>
                <w:sz w:val="22"/>
                <w:szCs w:val="22"/>
              </w:rPr>
              <w:t>Mononegavirales</w:t>
            </w:r>
            <w:r w:rsidR="00B31F00">
              <w:rPr>
                <w:rFonts w:ascii="Arial" w:hAnsi="Arial" w:cs="Arial"/>
                <w:bCs/>
                <w:sz w:val="22"/>
                <w:szCs w:val="22"/>
              </w:rPr>
              <w:t>:</w:t>
            </w:r>
            <w:r w:rsidR="00B0485E">
              <w:rPr>
                <w:rFonts w:ascii="Arial" w:hAnsi="Arial" w:cs="Arial"/>
                <w:bCs/>
                <w:sz w:val="22"/>
                <w:szCs w:val="22"/>
              </w:rPr>
              <w:t xml:space="preserve"> </w:t>
            </w:r>
            <w:r w:rsidR="00B0485E" w:rsidRPr="00B0485E">
              <w:rPr>
                <w:rFonts w:ascii="Arial" w:hAnsi="Arial" w:cs="Arial"/>
                <w:bCs/>
                <w:i/>
                <w:iCs/>
                <w:sz w:val="22"/>
                <w:szCs w:val="22"/>
              </w:rPr>
              <w:t>Filoviridae</w:t>
            </w:r>
            <w:r w:rsidR="00B31F00" w:rsidRPr="00B31F00">
              <w:rPr>
                <w:rFonts w:ascii="Arial" w:hAnsi="Arial" w:cs="Arial"/>
                <w:bCs/>
                <w:sz w:val="22"/>
                <w:szCs w:val="22"/>
              </w:rPr>
              <w:t>)</w:t>
            </w:r>
          </w:p>
        </w:tc>
      </w:tr>
      <w:tr w:rsidR="00A174CC" w14:paraId="4DFE888B" w14:textId="77777777">
        <w:trPr>
          <w:trHeight w:val="245"/>
        </w:trPr>
        <w:tc>
          <w:tcPr>
            <w:tcW w:w="9072" w:type="dxa"/>
            <w:gridSpan w:val="3"/>
            <w:tcBorders>
              <w:left w:val="double" w:sz="4" w:space="0" w:color="000000"/>
              <w:bottom w:val="double" w:sz="4" w:space="0" w:color="000000"/>
              <w:right w:val="double" w:sz="4" w:space="0" w:color="000000"/>
            </w:tcBorders>
            <w:shd w:val="clear" w:color="auto" w:fill="auto"/>
            <w:vAlign w:val="center"/>
          </w:tcPr>
          <w:p w14:paraId="60C0580B" w14:textId="77777777" w:rsidR="00A174CC" w:rsidRDefault="00A174CC">
            <w:pPr>
              <w:rPr>
                <w:rFonts w:ascii="Arial" w:hAnsi="Arial" w:cs="Arial"/>
                <w:b/>
                <w:sz w:val="22"/>
                <w:szCs w:val="22"/>
              </w:rPr>
            </w:pPr>
          </w:p>
        </w:tc>
      </w:tr>
    </w:tbl>
    <w:p w14:paraId="38C92193" w14:textId="77777777" w:rsidR="00A174CC" w:rsidRDefault="008815EE">
      <w:pPr>
        <w:spacing w:before="120" w:after="120"/>
        <w:rPr>
          <w:rFonts w:ascii="Arial" w:hAnsi="Arial" w:cs="Arial"/>
          <w:b/>
        </w:rPr>
      </w:pPr>
      <w:r>
        <w:rPr>
          <w:rFonts w:ascii="Arial" w:hAnsi="Arial" w:cs="Arial"/>
          <w:b/>
        </w:rPr>
        <w:t>Author(s) and email address(es)</w:t>
      </w:r>
    </w:p>
    <w:tbl>
      <w:tblPr>
        <w:tblStyle w:val="TableGrid"/>
        <w:tblW w:w="9072" w:type="dxa"/>
        <w:tblInd w:w="137" w:type="dxa"/>
        <w:tblLook w:val="04A0" w:firstRow="1" w:lastRow="0" w:firstColumn="1" w:lastColumn="0" w:noHBand="0" w:noVBand="1"/>
      </w:tblPr>
      <w:tblGrid>
        <w:gridCol w:w="4368"/>
        <w:gridCol w:w="4704"/>
      </w:tblGrid>
      <w:tr w:rsidR="00A174CC" w14:paraId="6B26D9B1" w14:textId="77777777">
        <w:tc>
          <w:tcPr>
            <w:tcW w:w="4368" w:type="dxa"/>
            <w:shd w:val="clear" w:color="auto" w:fill="auto"/>
          </w:tcPr>
          <w:p w14:paraId="1719DF85" w14:textId="3067D76E" w:rsidR="00A174CC" w:rsidRDefault="00A174CC"/>
        </w:tc>
        <w:tc>
          <w:tcPr>
            <w:tcW w:w="4703" w:type="dxa"/>
            <w:shd w:val="clear" w:color="auto" w:fill="auto"/>
          </w:tcPr>
          <w:p w14:paraId="56A09FFF" w14:textId="1AC057DA" w:rsidR="00A174CC" w:rsidRDefault="00A174CC"/>
        </w:tc>
      </w:tr>
      <w:tr w:rsidR="00A174CC" w:rsidRPr="004003A0" w14:paraId="67E4419A" w14:textId="77777777">
        <w:tc>
          <w:tcPr>
            <w:tcW w:w="4368" w:type="dxa"/>
            <w:shd w:val="clear" w:color="auto" w:fill="auto"/>
          </w:tcPr>
          <w:p w14:paraId="5B4DA008" w14:textId="40B1EBB7" w:rsidR="00093889" w:rsidRPr="004003A0" w:rsidRDefault="004003A0" w:rsidP="00B0485E">
            <w:pPr>
              <w:rPr>
                <w:rFonts w:ascii="Arial" w:hAnsi="Arial" w:cs="Arial"/>
                <w:sz w:val="22"/>
                <w:szCs w:val="22"/>
                <w:lang w:val="de-CH"/>
              </w:rPr>
            </w:pPr>
            <w:r w:rsidRPr="004003A0">
              <w:rPr>
                <w:rFonts w:ascii="Arial" w:hAnsi="Arial" w:cs="Arial"/>
                <w:sz w:val="22"/>
                <w:szCs w:val="22"/>
                <w:lang w:val="de-CH"/>
              </w:rPr>
              <w:t>Hierweger MM, Koch MC, Rupp M, Maes P, Di Paola N, Bruggmann R, Schmidt-Posthaus H,</w:t>
            </w:r>
            <w:r w:rsidR="00554C58" w:rsidRPr="004003A0">
              <w:rPr>
                <w:rFonts w:ascii="Arial" w:hAnsi="Arial" w:cs="Arial"/>
                <w:sz w:val="22"/>
                <w:szCs w:val="22"/>
                <w:lang w:val="de-CH"/>
              </w:rPr>
              <w:t xml:space="preserve"> </w:t>
            </w:r>
            <w:r w:rsidRPr="004003A0">
              <w:rPr>
                <w:rFonts w:ascii="Arial" w:hAnsi="Arial" w:cs="Arial"/>
                <w:sz w:val="22"/>
                <w:szCs w:val="22"/>
                <w:lang w:val="de-CH"/>
              </w:rPr>
              <w:t xml:space="preserve">Kuhn JH, Seuberlich </w:t>
            </w:r>
            <w:r>
              <w:rPr>
                <w:rFonts w:ascii="Arial" w:hAnsi="Arial" w:cs="Arial"/>
                <w:sz w:val="22"/>
                <w:szCs w:val="22"/>
                <w:lang w:val="de-CH"/>
              </w:rPr>
              <w:t>T</w:t>
            </w:r>
          </w:p>
        </w:tc>
        <w:tc>
          <w:tcPr>
            <w:tcW w:w="4703" w:type="dxa"/>
            <w:shd w:val="clear" w:color="auto" w:fill="auto"/>
          </w:tcPr>
          <w:p w14:paraId="450D035B" w14:textId="4CECF0D2" w:rsidR="004003A0" w:rsidRPr="004003A0" w:rsidRDefault="006B037A" w:rsidP="004003A0">
            <w:pPr>
              <w:rPr>
                <w:rFonts w:ascii="Arial" w:hAnsi="Arial" w:cs="Arial"/>
                <w:sz w:val="22"/>
                <w:szCs w:val="22"/>
                <w:lang w:val="de-CH"/>
              </w:rPr>
            </w:pPr>
            <w:hyperlink r:id="rId8" w:history="1">
              <w:r w:rsidR="004003A0" w:rsidRPr="004003A0">
                <w:rPr>
                  <w:rStyle w:val="Hyperlink"/>
                  <w:rFonts w:ascii="Arial" w:hAnsi="Arial" w:cs="Arial"/>
                  <w:sz w:val="22"/>
                  <w:szCs w:val="22"/>
                  <w:lang w:val="de-CH"/>
                </w:rPr>
                <w:t>melanie.hierweger@vetsuisse.unibe.ch</w:t>
              </w:r>
            </w:hyperlink>
            <w:r w:rsidR="004003A0" w:rsidRPr="004003A0">
              <w:rPr>
                <w:rFonts w:ascii="Arial" w:hAnsi="Arial" w:cs="Arial"/>
                <w:sz w:val="22"/>
                <w:szCs w:val="22"/>
                <w:lang w:val="de-CH"/>
              </w:rPr>
              <w:t xml:space="preserve">, </w:t>
            </w:r>
            <w:hyperlink r:id="rId9" w:history="1">
              <w:r w:rsidR="004003A0" w:rsidRPr="004003A0">
                <w:rPr>
                  <w:rStyle w:val="Hyperlink"/>
                  <w:rFonts w:ascii="Arial" w:hAnsi="Arial" w:cs="Arial"/>
                  <w:sz w:val="22"/>
                  <w:szCs w:val="22"/>
                  <w:lang w:val="de-CH"/>
                </w:rPr>
                <w:t>michel.koch@vetsuisse.unibe.ch</w:t>
              </w:r>
            </w:hyperlink>
            <w:r w:rsidR="004003A0" w:rsidRPr="004003A0">
              <w:rPr>
                <w:rFonts w:ascii="Arial" w:hAnsi="Arial" w:cs="Arial"/>
                <w:sz w:val="22"/>
                <w:szCs w:val="22"/>
                <w:lang w:val="de-CH"/>
              </w:rPr>
              <w:t xml:space="preserve">, </w:t>
            </w:r>
            <w:hyperlink r:id="rId10" w:history="1">
              <w:r w:rsidR="004003A0" w:rsidRPr="004003A0">
                <w:rPr>
                  <w:rStyle w:val="Hyperlink"/>
                  <w:rFonts w:ascii="Arial" w:hAnsi="Arial" w:cs="Arial"/>
                  <w:sz w:val="22"/>
                  <w:szCs w:val="22"/>
                  <w:lang w:val="de-CH"/>
                </w:rPr>
                <w:t>rupp@fishdoc.ch</w:t>
              </w:r>
            </w:hyperlink>
            <w:r w:rsidR="00B0485E" w:rsidRPr="004003A0">
              <w:rPr>
                <w:rFonts w:ascii="Arial" w:hAnsi="Arial" w:cs="Arial"/>
                <w:sz w:val="22"/>
                <w:szCs w:val="22"/>
                <w:lang w:val="de-CH"/>
              </w:rPr>
              <w:t>;</w:t>
            </w:r>
            <w:r w:rsidR="004003A0" w:rsidRPr="004003A0">
              <w:rPr>
                <w:rFonts w:ascii="Arial" w:hAnsi="Arial" w:cs="Arial"/>
                <w:sz w:val="22"/>
                <w:szCs w:val="22"/>
                <w:lang w:val="de-CH"/>
              </w:rPr>
              <w:t xml:space="preserve"> </w:t>
            </w:r>
            <w:hyperlink r:id="rId11" w:history="1">
              <w:r w:rsidR="004003A0" w:rsidRPr="004003A0">
                <w:rPr>
                  <w:rStyle w:val="Hyperlink"/>
                  <w:rFonts w:ascii="Arial" w:hAnsi="Arial" w:cs="Arial"/>
                  <w:sz w:val="22"/>
                  <w:szCs w:val="22"/>
                  <w:lang w:val="de-CH"/>
                </w:rPr>
                <w:t>piet.maes@kuleuven.be</w:t>
              </w:r>
            </w:hyperlink>
            <w:r w:rsidR="004003A0" w:rsidRPr="004003A0">
              <w:rPr>
                <w:rFonts w:ascii="Arial" w:hAnsi="Arial" w:cs="Arial"/>
                <w:sz w:val="22"/>
                <w:szCs w:val="22"/>
                <w:lang w:val="de-CH"/>
              </w:rPr>
              <w:t xml:space="preserve">, </w:t>
            </w:r>
            <w:hyperlink r:id="rId12" w:history="1">
              <w:r w:rsidR="004003A0" w:rsidRPr="004003A0">
                <w:rPr>
                  <w:rStyle w:val="Hyperlink"/>
                  <w:rFonts w:ascii="Arial" w:hAnsi="Arial" w:cs="Arial"/>
                  <w:sz w:val="22"/>
                  <w:szCs w:val="22"/>
                  <w:lang w:val="de-CH"/>
                </w:rPr>
                <w:t>nicholasdipaola@gmail.com</w:t>
              </w:r>
            </w:hyperlink>
            <w:r w:rsidR="004003A0" w:rsidRPr="004003A0">
              <w:rPr>
                <w:rFonts w:ascii="Arial" w:hAnsi="Arial" w:cs="Arial"/>
                <w:sz w:val="22"/>
                <w:szCs w:val="22"/>
                <w:lang w:val="de-CH"/>
              </w:rPr>
              <w:t xml:space="preserve">, </w:t>
            </w:r>
            <w:hyperlink r:id="rId13" w:history="1">
              <w:r w:rsidR="004003A0" w:rsidRPr="00597487">
                <w:rPr>
                  <w:rStyle w:val="Hyperlink"/>
                  <w:rFonts w:ascii="Arial" w:hAnsi="Arial" w:cs="Arial"/>
                  <w:sz w:val="22"/>
                  <w:szCs w:val="22"/>
                  <w:lang w:val="de-CH"/>
                </w:rPr>
                <w:t>remy.bruggmann@bioinformatics.unibe.ch</w:t>
              </w:r>
            </w:hyperlink>
            <w:r w:rsidR="004003A0" w:rsidRPr="004003A0">
              <w:rPr>
                <w:rFonts w:ascii="Arial" w:hAnsi="Arial" w:cs="Arial"/>
                <w:sz w:val="22"/>
                <w:szCs w:val="22"/>
                <w:lang w:val="de-CH"/>
              </w:rPr>
              <w:t xml:space="preserve">; </w:t>
            </w:r>
            <w:hyperlink r:id="rId14" w:history="1">
              <w:r w:rsidR="00B0485E" w:rsidRPr="004003A0">
                <w:rPr>
                  <w:rStyle w:val="Hyperlink"/>
                  <w:rFonts w:ascii="Arial" w:hAnsi="Arial" w:cs="Arial"/>
                  <w:sz w:val="22"/>
                  <w:szCs w:val="22"/>
                  <w:lang w:val="de-CH"/>
                </w:rPr>
                <w:t>kuhnjens@mail.nih.gov</w:t>
              </w:r>
            </w:hyperlink>
            <w:r w:rsidR="004003A0" w:rsidRPr="004003A0">
              <w:rPr>
                <w:rFonts w:ascii="Arial" w:hAnsi="Arial" w:cs="Arial"/>
                <w:sz w:val="22"/>
                <w:szCs w:val="22"/>
                <w:lang w:val="de-CH"/>
              </w:rPr>
              <w:t xml:space="preserve">, </w:t>
            </w:r>
            <w:hyperlink r:id="rId15" w:history="1">
              <w:r w:rsidR="004003A0" w:rsidRPr="004003A0">
                <w:rPr>
                  <w:rStyle w:val="Hyperlink"/>
                  <w:rFonts w:ascii="Arial" w:hAnsi="Arial" w:cs="Arial"/>
                  <w:sz w:val="22"/>
                  <w:szCs w:val="22"/>
                  <w:lang w:val="de-CH"/>
                </w:rPr>
                <w:t>heike.schmidt@vetsuisse.unibe.ch</w:t>
              </w:r>
            </w:hyperlink>
            <w:r w:rsidR="004003A0" w:rsidRPr="004003A0">
              <w:rPr>
                <w:rFonts w:ascii="Arial" w:hAnsi="Arial" w:cs="Arial"/>
                <w:sz w:val="22"/>
                <w:szCs w:val="22"/>
                <w:lang w:val="de-CH"/>
              </w:rPr>
              <w:t xml:space="preserve">, </w:t>
            </w:r>
            <w:hyperlink r:id="rId16" w:history="1">
              <w:r w:rsidR="004003A0" w:rsidRPr="00597487">
                <w:rPr>
                  <w:rStyle w:val="Hyperlink"/>
                  <w:rFonts w:ascii="Arial" w:hAnsi="Arial" w:cs="Arial"/>
                  <w:sz w:val="22"/>
                  <w:szCs w:val="22"/>
                  <w:lang w:val="de-CH"/>
                </w:rPr>
                <w:t>torsten.seuberlich@vetsuisse.unibe.ch</w:t>
              </w:r>
            </w:hyperlink>
          </w:p>
          <w:p w14:paraId="4C0145EC" w14:textId="6EEAE982" w:rsidR="004003A0" w:rsidRPr="004003A0" w:rsidRDefault="004003A0" w:rsidP="004003A0">
            <w:pPr>
              <w:rPr>
                <w:rFonts w:ascii="Arial" w:hAnsi="Arial" w:cs="Arial"/>
                <w:sz w:val="22"/>
                <w:szCs w:val="22"/>
                <w:lang w:val="de-CH"/>
              </w:rPr>
            </w:pPr>
          </w:p>
        </w:tc>
      </w:tr>
    </w:tbl>
    <w:p w14:paraId="070FAC74" w14:textId="77777777" w:rsidR="00A174CC" w:rsidRDefault="008815EE">
      <w:pPr>
        <w:spacing w:before="120" w:after="120"/>
        <w:rPr>
          <w:rFonts w:ascii="Arial" w:hAnsi="Arial" w:cs="Arial"/>
          <w:b/>
        </w:rPr>
      </w:pPr>
      <w:r>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A174CC" w14:paraId="5D211014" w14:textId="77777777">
        <w:tc>
          <w:tcPr>
            <w:tcW w:w="9072" w:type="dxa"/>
            <w:shd w:val="clear" w:color="auto" w:fill="auto"/>
          </w:tcPr>
          <w:p w14:paraId="7F578F4A" w14:textId="2669DF7F" w:rsidR="00A174CC" w:rsidRDefault="00B0485E">
            <w:pPr>
              <w:rPr>
                <w:rFonts w:ascii="Arial" w:hAnsi="Arial" w:cs="Arial"/>
                <w:sz w:val="22"/>
                <w:szCs w:val="22"/>
              </w:rPr>
            </w:pPr>
            <w:r>
              <w:rPr>
                <w:rFonts w:ascii="Arial" w:hAnsi="Arial" w:cs="Arial"/>
                <w:sz w:val="22"/>
                <w:szCs w:val="22"/>
              </w:rPr>
              <w:t>Seuberlich T</w:t>
            </w:r>
          </w:p>
        </w:tc>
      </w:tr>
    </w:tbl>
    <w:p w14:paraId="5366F0B8" w14:textId="77777777" w:rsidR="00E14752" w:rsidRDefault="00E14752">
      <w:pPr>
        <w:spacing w:before="120" w:after="120"/>
        <w:rPr>
          <w:rFonts w:ascii="Arial" w:hAnsi="Arial" w:cs="Arial"/>
          <w:b/>
        </w:rPr>
      </w:pPr>
    </w:p>
    <w:p w14:paraId="5872B564" w14:textId="425BB621" w:rsidR="00A174CC" w:rsidRDefault="008815EE">
      <w:pPr>
        <w:spacing w:before="120" w:after="120"/>
        <w:rPr>
          <w:rFonts w:ascii="Arial" w:hAnsi="Arial" w:cs="Arial"/>
          <w:b/>
        </w:rPr>
      </w:pPr>
      <w:r>
        <w:rPr>
          <w:rFonts w:ascii="Arial" w:hAnsi="Arial" w:cs="Arial"/>
          <w:b/>
        </w:rPr>
        <w:t>List the ICTV Study Group(s) that have seen this proposal</w:t>
      </w:r>
    </w:p>
    <w:p w14:paraId="43A5AD45" w14:textId="4D0C7B68" w:rsidR="00A174CC" w:rsidRDefault="00A174CC"/>
    <w:tbl>
      <w:tblPr>
        <w:tblStyle w:val="TableGrid"/>
        <w:tblW w:w="9072" w:type="dxa"/>
        <w:tblInd w:w="137" w:type="dxa"/>
        <w:tblLook w:val="04A0" w:firstRow="1" w:lastRow="0" w:firstColumn="1" w:lastColumn="0" w:noHBand="0" w:noVBand="1"/>
      </w:tblPr>
      <w:tblGrid>
        <w:gridCol w:w="9072"/>
      </w:tblGrid>
      <w:tr w:rsidR="00A174CC" w14:paraId="30BD955D" w14:textId="77777777">
        <w:tc>
          <w:tcPr>
            <w:tcW w:w="9072" w:type="dxa"/>
            <w:shd w:val="clear" w:color="auto" w:fill="auto"/>
          </w:tcPr>
          <w:p w14:paraId="208F33A9" w14:textId="5971574E" w:rsidR="00093889" w:rsidRDefault="00954271">
            <w:pPr>
              <w:rPr>
                <w:rFonts w:ascii="Arial" w:hAnsi="Arial" w:cs="Arial"/>
                <w:sz w:val="22"/>
                <w:szCs w:val="22"/>
              </w:rPr>
            </w:pPr>
            <w:r>
              <w:rPr>
                <w:rFonts w:ascii="Arial" w:hAnsi="Arial" w:cs="Arial"/>
                <w:sz w:val="22"/>
                <w:szCs w:val="22"/>
              </w:rPr>
              <w:t xml:space="preserve">ICTV </w:t>
            </w:r>
            <w:r w:rsidRPr="00196215">
              <w:rPr>
                <w:rFonts w:ascii="Arial" w:hAnsi="Arial" w:cs="Arial"/>
                <w:i/>
                <w:iCs/>
                <w:sz w:val="22"/>
                <w:szCs w:val="22"/>
              </w:rPr>
              <w:t>Filoviridae</w:t>
            </w:r>
            <w:r>
              <w:rPr>
                <w:rFonts w:ascii="Arial" w:hAnsi="Arial" w:cs="Arial"/>
                <w:sz w:val="22"/>
                <w:szCs w:val="22"/>
              </w:rPr>
              <w:t xml:space="preserve"> Study Group</w:t>
            </w:r>
          </w:p>
        </w:tc>
      </w:tr>
    </w:tbl>
    <w:p w14:paraId="7417E8C0" w14:textId="77777777" w:rsidR="00A174CC" w:rsidRDefault="008815EE">
      <w:pPr>
        <w:spacing w:before="120" w:after="120"/>
        <w:rPr>
          <w:rFonts w:ascii="Arial" w:hAnsi="Arial" w:cs="Arial"/>
          <w:b/>
        </w:rPr>
      </w:pPr>
      <w:r>
        <w:rPr>
          <w:rFonts w:ascii="Arial" w:hAnsi="Arial" w:cs="Arial"/>
          <w:b/>
        </w:rPr>
        <w:t>ICTV study group comments and response of proposer</w:t>
      </w:r>
    </w:p>
    <w:p w14:paraId="0D538D50" w14:textId="77777777" w:rsidR="00A174CC" w:rsidRDefault="00A174CC">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A174CC" w14:paraId="7D72A422" w14:textId="77777777">
        <w:tc>
          <w:tcPr>
            <w:tcW w:w="9072" w:type="dxa"/>
            <w:shd w:val="clear" w:color="auto" w:fill="auto"/>
          </w:tcPr>
          <w:p w14:paraId="073E55EA" w14:textId="77777777" w:rsidR="00A174CC" w:rsidRDefault="00A174CC">
            <w:pPr>
              <w:rPr>
                <w:rFonts w:ascii="Arial" w:hAnsi="Arial" w:cs="Arial"/>
                <w:sz w:val="22"/>
                <w:szCs w:val="22"/>
              </w:rPr>
            </w:pPr>
          </w:p>
        </w:tc>
      </w:tr>
    </w:tbl>
    <w:p w14:paraId="0429D4EA" w14:textId="77777777" w:rsidR="00A174CC" w:rsidRDefault="00A174CC"/>
    <w:p w14:paraId="53D9BCDE" w14:textId="77777777" w:rsidR="00A174CC" w:rsidRDefault="008815EE">
      <w:pPr>
        <w:rPr>
          <w:rFonts w:ascii="Arial" w:hAnsi="Arial" w:cs="Arial"/>
          <w:b/>
          <w:bCs/>
        </w:rPr>
      </w:pPr>
      <w:r>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A174CC" w14:paraId="2D0E7698" w14:textId="77777777">
        <w:tc>
          <w:tcPr>
            <w:tcW w:w="4819" w:type="dxa"/>
            <w:shd w:val="clear" w:color="auto" w:fill="auto"/>
          </w:tcPr>
          <w:p w14:paraId="632F82C3" w14:textId="77777777" w:rsidR="00A174CC" w:rsidRDefault="008815EE">
            <w:pPr>
              <w:rPr>
                <w:sz w:val="22"/>
                <w:szCs w:val="22"/>
              </w:rPr>
            </w:pPr>
            <w:r>
              <w:rPr>
                <w:rFonts w:ascii="Arial" w:hAnsi="Arial" w:cs="Arial"/>
                <w:sz w:val="22"/>
                <w:szCs w:val="22"/>
              </w:rPr>
              <w:t>Date first submitted to SC Chair</w:t>
            </w:r>
          </w:p>
        </w:tc>
        <w:tc>
          <w:tcPr>
            <w:tcW w:w="4252" w:type="dxa"/>
            <w:shd w:val="clear" w:color="auto" w:fill="auto"/>
          </w:tcPr>
          <w:p w14:paraId="30B8652F" w14:textId="6E918FC5" w:rsidR="00A174CC" w:rsidRDefault="00AB41A6">
            <w:pPr>
              <w:rPr>
                <w:rFonts w:ascii="Arial" w:hAnsi="Arial" w:cs="Arial"/>
                <w:sz w:val="22"/>
                <w:szCs w:val="22"/>
              </w:rPr>
            </w:pPr>
            <w:r>
              <w:rPr>
                <w:rFonts w:ascii="Arial" w:hAnsi="Arial" w:cs="Arial"/>
                <w:sz w:val="22"/>
                <w:szCs w:val="22"/>
              </w:rPr>
              <w:t>May 28, 2021</w:t>
            </w:r>
          </w:p>
        </w:tc>
      </w:tr>
      <w:tr w:rsidR="00A174CC" w14:paraId="41D8046A" w14:textId="77777777">
        <w:tc>
          <w:tcPr>
            <w:tcW w:w="4819" w:type="dxa"/>
            <w:shd w:val="clear" w:color="auto" w:fill="auto"/>
          </w:tcPr>
          <w:p w14:paraId="1EE879BD" w14:textId="77777777" w:rsidR="00A174CC" w:rsidRDefault="008815EE">
            <w:pPr>
              <w:rPr>
                <w:sz w:val="22"/>
                <w:szCs w:val="22"/>
              </w:rPr>
            </w:pPr>
            <w:r>
              <w:rPr>
                <w:rFonts w:ascii="Arial" w:hAnsi="Arial" w:cs="Arial"/>
                <w:sz w:val="22"/>
                <w:szCs w:val="22"/>
              </w:rPr>
              <w:t>Date of this revision (if different to above)</w:t>
            </w:r>
          </w:p>
        </w:tc>
        <w:tc>
          <w:tcPr>
            <w:tcW w:w="4252" w:type="dxa"/>
            <w:shd w:val="clear" w:color="auto" w:fill="auto"/>
          </w:tcPr>
          <w:p w14:paraId="57931D4D" w14:textId="77777777" w:rsidR="00A174CC" w:rsidRDefault="00A174CC">
            <w:pPr>
              <w:rPr>
                <w:rFonts w:ascii="Arial" w:hAnsi="Arial" w:cs="Arial"/>
                <w:sz w:val="22"/>
                <w:szCs w:val="22"/>
              </w:rPr>
            </w:pPr>
          </w:p>
        </w:tc>
      </w:tr>
    </w:tbl>
    <w:p w14:paraId="172E3080" w14:textId="77777777" w:rsidR="00A174CC" w:rsidRDefault="008815EE">
      <w:pPr>
        <w:spacing w:before="120" w:after="120"/>
        <w:rPr>
          <w:rFonts w:ascii="Arial" w:hAnsi="Arial" w:cs="Arial"/>
          <w:b/>
        </w:rPr>
      </w:pPr>
      <w:r>
        <w:rPr>
          <w:rFonts w:ascii="Arial" w:hAnsi="Arial" w:cs="Arial"/>
          <w:b/>
        </w:rPr>
        <w:t>ICTV-EC comments and response of the proposer</w:t>
      </w:r>
    </w:p>
    <w:tbl>
      <w:tblPr>
        <w:tblStyle w:val="TableGrid"/>
        <w:tblW w:w="9072" w:type="dxa"/>
        <w:tblInd w:w="137" w:type="dxa"/>
        <w:tblLook w:val="04A0" w:firstRow="1" w:lastRow="0" w:firstColumn="1" w:lastColumn="0" w:noHBand="0" w:noVBand="1"/>
      </w:tblPr>
      <w:tblGrid>
        <w:gridCol w:w="9072"/>
      </w:tblGrid>
      <w:tr w:rsidR="00A174CC" w14:paraId="0F67D906" w14:textId="77777777">
        <w:tc>
          <w:tcPr>
            <w:tcW w:w="9072" w:type="dxa"/>
            <w:shd w:val="clear" w:color="auto" w:fill="auto"/>
          </w:tcPr>
          <w:p w14:paraId="624F1866" w14:textId="77777777" w:rsidR="00A174CC" w:rsidRDefault="00A174CC">
            <w:pPr>
              <w:rPr>
                <w:rFonts w:ascii="Arial" w:hAnsi="Arial" w:cs="Arial"/>
                <w:sz w:val="22"/>
                <w:szCs w:val="22"/>
              </w:rPr>
            </w:pPr>
          </w:p>
        </w:tc>
      </w:tr>
    </w:tbl>
    <w:p w14:paraId="1DFD7819" w14:textId="77777777" w:rsidR="00A174CC" w:rsidRDefault="00A174CC">
      <w:pPr>
        <w:pStyle w:val="BodyTextIndent"/>
        <w:spacing w:before="120" w:after="120"/>
        <w:ind w:left="0" w:firstLine="0"/>
        <w:rPr>
          <w:rFonts w:ascii="Arial" w:hAnsi="Arial" w:cs="Arial"/>
          <w:b/>
          <w:color w:val="000000"/>
          <w:szCs w:val="24"/>
        </w:rPr>
      </w:pPr>
    </w:p>
    <w:p w14:paraId="5BFC1800" w14:textId="77777777" w:rsidR="00A174CC" w:rsidRDefault="008815EE">
      <w:pPr>
        <w:pStyle w:val="BodyTextIndent"/>
        <w:spacing w:before="120" w:after="120"/>
        <w:ind w:left="0" w:firstLine="0"/>
        <w:rPr>
          <w:rFonts w:ascii="Arial" w:hAnsi="Arial" w:cs="Arial"/>
          <w:color w:val="000000"/>
          <w:sz w:val="22"/>
          <w:szCs w:val="22"/>
        </w:rPr>
      </w:pPr>
      <w:r>
        <w:rPr>
          <w:rFonts w:ascii="Arial" w:hAnsi="Arial" w:cs="Arial"/>
          <w:b/>
          <w:color w:val="000000"/>
          <w:szCs w:val="24"/>
        </w:rPr>
        <w:t>Part 3</w:t>
      </w:r>
      <w:r>
        <w:rPr>
          <w:rFonts w:ascii="Arial" w:hAnsi="Arial" w:cs="Arial"/>
          <w:b/>
          <w:color w:val="000000"/>
          <w:sz w:val="22"/>
          <w:szCs w:val="22"/>
        </w:rPr>
        <w:t>:</w:t>
      </w:r>
      <w:r>
        <w:rPr>
          <w:rFonts w:ascii="Arial" w:hAnsi="Arial" w:cs="Arial"/>
          <w:color w:val="000000"/>
          <w:sz w:val="22"/>
          <w:szCs w:val="22"/>
        </w:rPr>
        <w:t xml:space="preserve"> </w:t>
      </w:r>
      <w:r>
        <w:rPr>
          <w:rFonts w:ascii="Arial" w:hAnsi="Arial" w:cs="Arial"/>
          <w:b/>
          <w:color w:val="000000"/>
          <w:sz w:val="22"/>
          <w:szCs w:val="22"/>
          <w:u w:val="single"/>
        </w:rPr>
        <w:t>TAXONOMIC PROPOSAL</w:t>
      </w:r>
    </w:p>
    <w:p w14:paraId="7F2357E1" w14:textId="77777777" w:rsidR="00755B25" w:rsidRDefault="00755B25">
      <w:pPr>
        <w:spacing w:before="120" w:after="120"/>
        <w:rPr>
          <w:rFonts w:ascii="Arial" w:hAnsi="Arial" w:cs="Arial"/>
          <w:b/>
        </w:rPr>
      </w:pPr>
    </w:p>
    <w:p w14:paraId="1943EDC9" w14:textId="6453D51B" w:rsidR="00A174CC" w:rsidRDefault="008815EE">
      <w:pPr>
        <w:spacing w:before="120" w:after="120"/>
        <w:rPr>
          <w:rFonts w:ascii="Arial" w:hAnsi="Arial" w:cs="Arial"/>
          <w:b/>
        </w:rPr>
      </w:pPr>
      <w:r>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A174CC" w14:paraId="23CC3CF3" w14:textId="77777777">
        <w:tc>
          <w:tcPr>
            <w:tcW w:w="9072" w:type="dxa"/>
            <w:shd w:val="clear" w:color="auto" w:fill="auto"/>
          </w:tcPr>
          <w:p w14:paraId="5E05E919" w14:textId="5FA0D664" w:rsidR="00A174CC" w:rsidRDefault="00055B6F">
            <w:pPr>
              <w:spacing w:before="120" w:after="120"/>
              <w:rPr>
                <w:rFonts w:ascii="Arial" w:hAnsi="Arial" w:cs="Arial"/>
                <w:bCs/>
                <w:sz w:val="22"/>
                <w:szCs w:val="22"/>
              </w:rPr>
            </w:pPr>
            <w:r w:rsidRPr="00055B6F">
              <w:rPr>
                <w:rFonts w:ascii="Arial" w:hAnsi="Arial" w:cs="Arial"/>
                <w:bCs/>
                <w:sz w:val="22"/>
                <w:szCs w:val="22"/>
              </w:rPr>
              <w:t>2021.</w:t>
            </w:r>
            <w:r w:rsidR="00B31F00">
              <w:rPr>
                <w:rFonts w:ascii="Arial" w:hAnsi="Arial" w:cs="Arial"/>
                <w:bCs/>
                <w:sz w:val="22"/>
                <w:szCs w:val="22"/>
              </w:rPr>
              <w:t>011</w:t>
            </w:r>
            <w:r w:rsidRPr="00055B6F">
              <w:rPr>
                <w:rFonts w:ascii="Arial" w:hAnsi="Arial" w:cs="Arial"/>
                <w:bCs/>
                <w:sz w:val="22"/>
                <w:szCs w:val="22"/>
              </w:rPr>
              <w:t>M.</w:t>
            </w:r>
            <w:r w:rsidR="009C6F7D">
              <w:rPr>
                <w:rFonts w:ascii="Arial" w:hAnsi="Arial" w:cs="Arial"/>
                <w:bCs/>
                <w:sz w:val="22"/>
                <w:szCs w:val="22"/>
              </w:rPr>
              <w:t>R</w:t>
            </w:r>
            <w:r w:rsidRPr="00055B6F">
              <w:rPr>
                <w:rFonts w:ascii="Arial" w:hAnsi="Arial" w:cs="Arial"/>
                <w:bCs/>
                <w:sz w:val="22"/>
                <w:szCs w:val="22"/>
              </w:rPr>
              <w:t>.Filoviridae_1ngen_3nsp</w:t>
            </w:r>
          </w:p>
        </w:tc>
      </w:tr>
    </w:tbl>
    <w:p w14:paraId="3ACCB610" w14:textId="77777777" w:rsidR="00755B25" w:rsidRDefault="00755B25">
      <w:pPr>
        <w:spacing w:before="120" w:after="120"/>
        <w:rPr>
          <w:rFonts w:ascii="Arial" w:hAnsi="Arial" w:cs="Arial"/>
          <w:b/>
        </w:rPr>
      </w:pPr>
    </w:p>
    <w:p w14:paraId="70690697" w14:textId="6DD2D1A9" w:rsidR="00A174CC" w:rsidRDefault="008815EE">
      <w:pPr>
        <w:spacing w:before="120" w:after="120"/>
        <w:rPr>
          <w:rFonts w:ascii="Arial" w:hAnsi="Arial" w:cs="Arial"/>
          <w:color w:val="0000FF"/>
          <w:sz w:val="20"/>
        </w:rPr>
      </w:pPr>
      <w:r>
        <w:rPr>
          <w:rFonts w:ascii="Arial" w:hAnsi="Arial" w:cs="Arial"/>
          <w:b/>
        </w:rPr>
        <w:t>Abstract</w:t>
      </w:r>
    </w:p>
    <w:tbl>
      <w:tblPr>
        <w:tblStyle w:val="TableGrid"/>
        <w:tblW w:w="9072" w:type="dxa"/>
        <w:tblInd w:w="137" w:type="dxa"/>
        <w:tblLook w:val="04A0" w:firstRow="1" w:lastRow="0" w:firstColumn="1" w:lastColumn="0" w:noHBand="0" w:noVBand="1"/>
      </w:tblPr>
      <w:tblGrid>
        <w:gridCol w:w="9072"/>
      </w:tblGrid>
      <w:tr w:rsidR="00A174CC" w14:paraId="09FD91A4" w14:textId="77777777">
        <w:tc>
          <w:tcPr>
            <w:tcW w:w="9072" w:type="dxa"/>
            <w:shd w:val="clear" w:color="auto" w:fill="auto"/>
          </w:tcPr>
          <w:p w14:paraId="2AB201D8" w14:textId="3C936F37" w:rsidR="00A174CC" w:rsidRPr="00454F70" w:rsidRDefault="009930C5">
            <w:pPr>
              <w:rPr>
                <w:rFonts w:ascii="Arial" w:hAnsi="Arial" w:cs="Arial"/>
                <w:bCs/>
                <w:sz w:val="22"/>
                <w:szCs w:val="22"/>
              </w:rPr>
            </w:pPr>
            <w:r>
              <w:rPr>
                <w:rFonts w:ascii="Arial" w:hAnsi="Arial" w:cs="Arial"/>
                <w:bCs/>
                <w:sz w:val="22"/>
                <w:szCs w:val="22"/>
              </w:rPr>
              <w:t xml:space="preserve">We propose to establish one new filovirid genus, </w:t>
            </w:r>
            <w:r w:rsidRPr="009930C5">
              <w:rPr>
                <w:rFonts w:ascii="Arial" w:hAnsi="Arial" w:cs="Arial"/>
                <w:bCs/>
                <w:i/>
                <w:iCs/>
                <w:sz w:val="22"/>
                <w:szCs w:val="22"/>
              </w:rPr>
              <w:t>Oblavirus</w:t>
            </w:r>
            <w:r>
              <w:rPr>
                <w:rFonts w:ascii="Arial" w:hAnsi="Arial" w:cs="Arial"/>
                <w:bCs/>
                <w:sz w:val="22"/>
                <w:szCs w:val="22"/>
              </w:rPr>
              <w:t>, including one new species (</w:t>
            </w:r>
            <w:r w:rsidRPr="009930C5">
              <w:rPr>
                <w:rFonts w:ascii="Arial" w:hAnsi="Arial" w:cs="Arial"/>
                <w:bCs/>
                <w:i/>
                <w:iCs/>
                <w:sz w:val="22"/>
                <w:szCs w:val="22"/>
              </w:rPr>
              <w:t>Oblavirus percae</w:t>
            </w:r>
            <w:r>
              <w:rPr>
                <w:rFonts w:ascii="Arial" w:hAnsi="Arial" w:cs="Arial"/>
                <w:bCs/>
                <w:sz w:val="22"/>
                <w:szCs w:val="22"/>
              </w:rPr>
              <w:t xml:space="preserve">), and two new species in filovirid genus </w:t>
            </w:r>
            <w:r w:rsidRPr="009930C5">
              <w:rPr>
                <w:rFonts w:ascii="Arial" w:hAnsi="Arial" w:cs="Arial"/>
                <w:bCs/>
                <w:i/>
                <w:iCs/>
                <w:sz w:val="22"/>
                <w:szCs w:val="22"/>
              </w:rPr>
              <w:t>Thamnovirus</w:t>
            </w:r>
            <w:r>
              <w:rPr>
                <w:rFonts w:ascii="Arial" w:hAnsi="Arial" w:cs="Arial"/>
                <w:bCs/>
                <w:sz w:val="22"/>
                <w:szCs w:val="22"/>
              </w:rPr>
              <w:t xml:space="preserve"> (</w:t>
            </w:r>
            <w:r w:rsidRPr="009930C5">
              <w:rPr>
                <w:rFonts w:ascii="Arial" w:hAnsi="Arial" w:cs="Arial"/>
                <w:bCs/>
                <w:i/>
                <w:iCs/>
                <w:sz w:val="22"/>
                <w:szCs w:val="22"/>
              </w:rPr>
              <w:t>Thamnovirus</w:t>
            </w:r>
            <w:r>
              <w:rPr>
                <w:rFonts w:ascii="Arial" w:hAnsi="Arial" w:cs="Arial"/>
                <w:bCs/>
                <w:sz w:val="22"/>
                <w:szCs w:val="22"/>
              </w:rPr>
              <w:t xml:space="preserve"> </w:t>
            </w:r>
            <w:r w:rsidRPr="009930C5">
              <w:rPr>
                <w:rFonts w:ascii="Arial" w:hAnsi="Arial" w:cs="Arial"/>
                <w:bCs/>
                <w:i/>
                <w:iCs/>
                <w:sz w:val="22"/>
                <w:szCs w:val="22"/>
              </w:rPr>
              <w:t>perc</w:t>
            </w:r>
            <w:r>
              <w:rPr>
                <w:rFonts w:ascii="Arial" w:hAnsi="Arial" w:cs="Arial"/>
                <w:bCs/>
                <w:i/>
                <w:iCs/>
                <w:sz w:val="22"/>
                <w:szCs w:val="22"/>
              </w:rPr>
              <w:t>a</w:t>
            </w:r>
            <w:r w:rsidRPr="009930C5">
              <w:rPr>
                <w:rFonts w:ascii="Arial" w:hAnsi="Arial" w:cs="Arial"/>
                <w:bCs/>
                <w:i/>
                <w:iCs/>
                <w:sz w:val="22"/>
                <w:szCs w:val="22"/>
              </w:rPr>
              <w:t>e</w:t>
            </w:r>
            <w:r>
              <w:rPr>
                <w:rFonts w:ascii="Arial" w:hAnsi="Arial" w:cs="Arial"/>
                <w:bCs/>
                <w:sz w:val="22"/>
                <w:szCs w:val="22"/>
              </w:rPr>
              <w:t xml:space="preserve"> and </w:t>
            </w:r>
            <w:r w:rsidRPr="009930C5">
              <w:rPr>
                <w:rFonts w:ascii="Arial" w:hAnsi="Arial" w:cs="Arial"/>
                <w:bCs/>
                <w:i/>
                <w:iCs/>
                <w:sz w:val="22"/>
                <w:szCs w:val="22"/>
              </w:rPr>
              <w:t>Thamnovirus</w:t>
            </w:r>
            <w:r>
              <w:rPr>
                <w:rFonts w:ascii="Arial" w:hAnsi="Arial" w:cs="Arial"/>
                <w:bCs/>
                <w:sz w:val="22"/>
                <w:szCs w:val="22"/>
              </w:rPr>
              <w:t xml:space="preserve"> </w:t>
            </w:r>
            <w:r w:rsidRPr="009930C5">
              <w:rPr>
                <w:rFonts w:ascii="Arial" w:hAnsi="Arial" w:cs="Arial"/>
                <w:bCs/>
                <w:i/>
                <w:iCs/>
                <w:sz w:val="22"/>
                <w:szCs w:val="22"/>
              </w:rPr>
              <w:t>kanderense</w:t>
            </w:r>
            <w:r>
              <w:rPr>
                <w:rFonts w:ascii="Arial" w:hAnsi="Arial" w:cs="Arial"/>
                <w:bCs/>
                <w:sz w:val="22"/>
                <w:szCs w:val="22"/>
              </w:rPr>
              <w:t>). These three species are proposed to accommodate Oberland virus (OBLV), Fiwi virus (FIWIV), and Kander virus (KNDV), respectively, all of which were discovered by high-throughput sequencing in farmed European perch in Switzerland.</w:t>
            </w:r>
          </w:p>
        </w:tc>
      </w:tr>
    </w:tbl>
    <w:p w14:paraId="5FC8EFB5" w14:textId="77777777" w:rsidR="00A174CC" w:rsidRDefault="008815EE">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562"/>
      </w:tblGrid>
      <w:tr w:rsidR="00A174CC" w14:paraId="15A4B8D2" w14:textId="77777777">
        <w:trPr>
          <w:trHeight w:val="1566"/>
        </w:trPr>
        <w:tc>
          <w:tcPr>
            <w:tcW w:w="9228" w:type="dxa"/>
            <w:shd w:val="clear" w:color="auto" w:fill="auto"/>
          </w:tcPr>
          <w:p w14:paraId="3F2A00F5" w14:textId="4BC23DD3" w:rsidR="00A174CC" w:rsidRDefault="00A174CC" w:rsidP="00AD25DE">
            <w:pPr>
              <w:pStyle w:val="BodyTextIndent"/>
              <w:spacing w:after="120"/>
              <w:ind w:left="0" w:firstLine="0"/>
              <w:rPr>
                <w:rFonts w:ascii="Arial" w:hAnsi="Arial" w:cs="Arial"/>
                <w:color w:val="0000FF"/>
                <w:sz w:val="20"/>
              </w:rPr>
            </w:pPr>
          </w:p>
          <w:tbl>
            <w:tblPr>
              <w:tblStyle w:val="TableGrid"/>
              <w:tblW w:w="9002" w:type="dxa"/>
              <w:tblLook w:val="04A0" w:firstRow="1" w:lastRow="0" w:firstColumn="1" w:lastColumn="0" w:noHBand="0" w:noVBand="1"/>
            </w:tblPr>
            <w:tblGrid>
              <w:gridCol w:w="9336"/>
            </w:tblGrid>
            <w:tr w:rsidR="00A174CC" w14:paraId="195FC3CF" w14:textId="77777777">
              <w:tc>
                <w:tcPr>
                  <w:tcW w:w="9002" w:type="dxa"/>
                  <w:shd w:val="clear" w:color="auto" w:fill="auto"/>
                </w:tcPr>
                <w:p w14:paraId="4F12D4DB" w14:textId="61595A58" w:rsidR="0040445E" w:rsidRPr="001E2866" w:rsidRDefault="001E2866" w:rsidP="0040445E">
                  <w:pPr>
                    <w:rPr>
                      <w:rFonts w:ascii="Arial" w:hAnsi="Arial" w:cs="Arial"/>
                      <w:color w:val="000000" w:themeColor="text1"/>
                      <w:sz w:val="22"/>
                      <w:szCs w:val="22"/>
                    </w:rPr>
                  </w:pPr>
                  <w:r>
                    <w:rPr>
                      <w:rFonts w:ascii="Arial" w:hAnsi="Arial" w:cs="Arial"/>
                      <w:color w:val="000000" w:themeColor="text1"/>
                      <w:sz w:val="22"/>
                      <w:szCs w:val="22"/>
                    </w:rPr>
                    <w:t>We discovered three new viruses in European Perch (</w:t>
                  </w:r>
                  <w:r w:rsidRPr="001E2866">
                    <w:rPr>
                      <w:rFonts w:ascii="Arial" w:hAnsi="Arial" w:cs="Arial"/>
                      <w:i/>
                      <w:color w:val="000000" w:themeColor="text1"/>
                      <w:sz w:val="22"/>
                      <w:szCs w:val="22"/>
                    </w:rPr>
                    <w:t>Perca fluviatilis</w:t>
                  </w:r>
                  <w:r w:rsidR="00954271">
                    <w:rPr>
                      <w:rFonts w:ascii="Arial" w:hAnsi="Arial" w:cs="Arial"/>
                      <w:iCs/>
                      <w:color w:val="000000" w:themeColor="text1"/>
                      <w:sz w:val="22"/>
                      <w:szCs w:val="22"/>
                    </w:rPr>
                    <w:t xml:space="preserve"> </w:t>
                  </w:r>
                  <w:r w:rsidR="00954271" w:rsidRPr="00954271">
                    <w:rPr>
                      <w:rFonts w:ascii="Arial" w:hAnsi="Arial" w:cs="Arial"/>
                      <w:iCs/>
                      <w:color w:val="000000" w:themeColor="text1"/>
                      <w:sz w:val="22"/>
                      <w:szCs w:val="22"/>
                    </w:rPr>
                    <w:t>Linnaeus, 1758</w:t>
                  </w:r>
                  <w:r>
                    <w:rPr>
                      <w:rFonts w:ascii="Arial" w:hAnsi="Arial" w:cs="Arial"/>
                      <w:color w:val="000000" w:themeColor="text1"/>
                      <w:sz w:val="22"/>
                      <w:szCs w:val="22"/>
                    </w:rPr>
                    <w:t xml:space="preserve">) in Switzerland by high-throughput sequencing </w:t>
                  </w:r>
                  <w:r w:rsidR="0040445E">
                    <w:rPr>
                      <w:rFonts w:ascii="Arial" w:hAnsi="Arial" w:cs="Arial"/>
                      <w:color w:val="000000" w:themeColor="text1"/>
                      <w:sz w:val="22"/>
                      <w:szCs w:val="22"/>
                    </w:rPr>
                    <w:t xml:space="preserve">and </w:t>
                  </w:r>
                  <w:r>
                    <w:rPr>
                      <w:rFonts w:ascii="Arial" w:hAnsi="Arial" w:cs="Arial"/>
                      <w:color w:val="000000" w:themeColor="text1"/>
                      <w:sz w:val="22"/>
                      <w:szCs w:val="22"/>
                    </w:rPr>
                    <w:t>bioinformatics analysis</w:t>
                  </w:r>
                  <w:r w:rsidR="00503F95">
                    <w:rPr>
                      <w:rFonts w:ascii="Arial" w:hAnsi="Arial" w:cs="Arial"/>
                      <w:color w:val="000000" w:themeColor="text1"/>
                      <w:sz w:val="22"/>
                      <w:szCs w:val="22"/>
                    </w:rPr>
                    <w:t xml:space="preserve"> (1)</w:t>
                  </w:r>
                  <w:r>
                    <w:rPr>
                      <w:rFonts w:ascii="Arial" w:hAnsi="Arial" w:cs="Arial"/>
                      <w:color w:val="000000" w:themeColor="text1"/>
                      <w:sz w:val="22"/>
                      <w:szCs w:val="22"/>
                    </w:rPr>
                    <w:t xml:space="preserve">. </w:t>
                  </w:r>
                  <w:r w:rsidR="0040445E" w:rsidRPr="0040445E">
                    <w:rPr>
                      <w:rFonts w:ascii="Arial" w:hAnsi="Arial" w:cs="Arial"/>
                      <w:color w:val="000000" w:themeColor="text1"/>
                      <w:sz w:val="22"/>
                      <w:szCs w:val="22"/>
                    </w:rPr>
                    <w:t xml:space="preserve">We named these viruses Fiwi virus (FIWIV; GenBank #MN510772), after the Centre for </w:t>
                  </w:r>
                  <w:r w:rsidR="0040445E" w:rsidRPr="0040445E">
                    <w:rPr>
                      <w:rFonts w:ascii="Arial" w:hAnsi="Arial" w:cs="Arial"/>
                      <w:color w:val="000000" w:themeColor="text1"/>
                      <w:sz w:val="22"/>
                      <w:szCs w:val="22"/>
                      <w:u w:val="single"/>
                    </w:rPr>
                    <w:t>Fi</w:t>
                  </w:r>
                  <w:r w:rsidR="0040445E" w:rsidRPr="0040445E">
                    <w:rPr>
                      <w:rFonts w:ascii="Arial" w:hAnsi="Arial" w:cs="Arial"/>
                      <w:color w:val="000000" w:themeColor="text1"/>
                      <w:sz w:val="22"/>
                      <w:szCs w:val="22"/>
                    </w:rPr>
                    <w:t xml:space="preserve">sh and </w:t>
                  </w:r>
                  <w:r w:rsidR="0040445E" w:rsidRPr="0040445E">
                    <w:rPr>
                      <w:rFonts w:ascii="Arial" w:hAnsi="Arial" w:cs="Arial"/>
                      <w:color w:val="000000" w:themeColor="text1"/>
                      <w:sz w:val="22"/>
                      <w:szCs w:val="22"/>
                      <w:u w:val="single"/>
                    </w:rPr>
                    <w:t>Wi</w:t>
                  </w:r>
                  <w:r w:rsidR="0040445E" w:rsidRPr="0040445E">
                    <w:rPr>
                      <w:rFonts w:ascii="Arial" w:hAnsi="Arial" w:cs="Arial"/>
                      <w:color w:val="000000" w:themeColor="text1"/>
                      <w:sz w:val="22"/>
                      <w:szCs w:val="22"/>
                    </w:rPr>
                    <w:t xml:space="preserve">ldlife Health (FIWI); Oberland virus (OBLV; GenBank #MN510773), after Bernese Oberland; and Kander virus (KNDV; GenBank #MW093492), after the Kander River, which flows through Bernese Oberland. </w:t>
                  </w:r>
                  <w:r w:rsidR="00954271">
                    <w:rPr>
                      <w:rFonts w:ascii="Arial" w:hAnsi="Arial" w:cs="Arial"/>
                      <w:color w:val="000000" w:themeColor="text1"/>
                      <w:sz w:val="22"/>
                      <w:szCs w:val="22"/>
                    </w:rPr>
                    <w:t>T</w:t>
                  </w:r>
                  <w:r w:rsidR="0040445E" w:rsidRPr="0040445E">
                    <w:rPr>
                      <w:rFonts w:ascii="Arial" w:hAnsi="Arial" w:cs="Arial"/>
                      <w:color w:val="000000" w:themeColor="text1"/>
                      <w:sz w:val="22"/>
                      <w:szCs w:val="22"/>
                    </w:rPr>
                    <w:t xml:space="preserve">he FIWIV genome </w:t>
                  </w:r>
                  <w:r w:rsidR="00954271">
                    <w:rPr>
                      <w:rFonts w:ascii="Arial" w:hAnsi="Arial" w:cs="Arial"/>
                      <w:color w:val="000000" w:themeColor="text1"/>
                      <w:sz w:val="22"/>
                      <w:szCs w:val="22"/>
                    </w:rPr>
                    <w:t>sequence is</w:t>
                  </w:r>
                  <w:r w:rsidR="0040445E" w:rsidRPr="0040445E">
                    <w:rPr>
                      <w:rFonts w:ascii="Arial" w:hAnsi="Arial" w:cs="Arial"/>
                      <w:color w:val="000000" w:themeColor="text1"/>
                      <w:sz w:val="22"/>
                      <w:szCs w:val="22"/>
                    </w:rPr>
                    <w:t xml:space="preserve"> coding-complete, </w:t>
                  </w:r>
                  <w:r w:rsidR="00954271">
                    <w:rPr>
                      <w:rFonts w:ascii="Arial" w:hAnsi="Arial" w:cs="Arial"/>
                      <w:color w:val="000000" w:themeColor="text1"/>
                      <w:sz w:val="22"/>
                      <w:szCs w:val="22"/>
                    </w:rPr>
                    <w:t xml:space="preserve">whereas </w:t>
                  </w:r>
                  <w:r w:rsidR="0040445E" w:rsidRPr="0040445E">
                    <w:rPr>
                      <w:rFonts w:ascii="Arial" w:hAnsi="Arial" w:cs="Arial"/>
                      <w:color w:val="000000" w:themeColor="text1"/>
                      <w:sz w:val="22"/>
                      <w:szCs w:val="22"/>
                    </w:rPr>
                    <w:t xml:space="preserve">the </w:t>
                  </w:r>
                  <w:r w:rsidR="00954271">
                    <w:rPr>
                      <w:rFonts w:ascii="Arial" w:hAnsi="Arial" w:cs="Arial"/>
                      <w:color w:val="000000" w:themeColor="text1"/>
                      <w:sz w:val="22"/>
                      <w:szCs w:val="22"/>
                    </w:rPr>
                    <w:t xml:space="preserve">genomic </w:t>
                  </w:r>
                  <w:r w:rsidR="0040445E" w:rsidRPr="0040445E">
                    <w:rPr>
                      <w:rFonts w:ascii="Arial" w:hAnsi="Arial" w:cs="Arial"/>
                      <w:color w:val="000000" w:themeColor="text1"/>
                      <w:sz w:val="22"/>
                      <w:szCs w:val="22"/>
                    </w:rPr>
                    <w:t xml:space="preserve">sequences of OBLV and KNDV are </w:t>
                  </w:r>
                  <w:r w:rsidR="00954271">
                    <w:rPr>
                      <w:rFonts w:ascii="Arial" w:hAnsi="Arial" w:cs="Arial"/>
                      <w:color w:val="000000" w:themeColor="text1"/>
                      <w:sz w:val="22"/>
                      <w:szCs w:val="22"/>
                    </w:rPr>
                    <w:t>near</w:t>
                  </w:r>
                  <w:r w:rsidR="0040445E" w:rsidRPr="0040445E">
                    <w:rPr>
                      <w:rFonts w:ascii="Arial" w:hAnsi="Arial" w:cs="Arial"/>
                      <w:color w:val="000000" w:themeColor="text1"/>
                      <w:sz w:val="22"/>
                      <w:szCs w:val="22"/>
                    </w:rPr>
                    <w:t>-complete</w:t>
                  </w:r>
                  <w:r w:rsidR="00954271">
                    <w:rPr>
                      <w:rFonts w:ascii="Arial" w:hAnsi="Arial" w:cs="Arial"/>
                      <w:color w:val="000000" w:themeColor="text1"/>
                      <w:sz w:val="22"/>
                      <w:szCs w:val="22"/>
                    </w:rPr>
                    <w:t xml:space="preserve"> lacking short sequence stretches</w:t>
                  </w:r>
                  <w:r w:rsidR="0040445E" w:rsidRPr="0040445E">
                    <w:rPr>
                      <w:rFonts w:ascii="Arial" w:hAnsi="Arial" w:cs="Arial"/>
                      <w:color w:val="000000" w:themeColor="text1"/>
                      <w:sz w:val="22"/>
                      <w:szCs w:val="22"/>
                    </w:rPr>
                    <w:t xml:space="preserve"> at the 5' terminus and at both 3' termini, respectively. However, all three sequences </w:t>
                  </w:r>
                  <w:r w:rsidR="00954271">
                    <w:rPr>
                      <w:rFonts w:ascii="Arial" w:hAnsi="Arial" w:cs="Arial"/>
                      <w:color w:val="000000" w:themeColor="text1"/>
                      <w:sz w:val="22"/>
                      <w:szCs w:val="22"/>
                    </w:rPr>
                    <w:t xml:space="preserve">are sufficiently long to consider classification, </w:t>
                  </w:r>
                  <w:r w:rsidR="0040445E" w:rsidRPr="0040445E">
                    <w:rPr>
                      <w:rFonts w:ascii="Arial" w:hAnsi="Arial" w:cs="Arial"/>
                      <w:color w:val="000000" w:themeColor="text1"/>
                      <w:sz w:val="22"/>
                      <w:szCs w:val="22"/>
                    </w:rPr>
                    <w:t xml:space="preserve">encoding the </w:t>
                  </w:r>
                  <w:r w:rsidR="00954271">
                    <w:rPr>
                      <w:rFonts w:ascii="Arial" w:hAnsi="Arial" w:cs="Arial"/>
                      <w:color w:val="000000" w:themeColor="text1"/>
                      <w:sz w:val="22"/>
                      <w:szCs w:val="22"/>
                    </w:rPr>
                    <w:t>canonical</w:t>
                  </w:r>
                  <w:r w:rsidR="0040445E" w:rsidRPr="0040445E">
                    <w:rPr>
                      <w:rFonts w:ascii="Arial" w:hAnsi="Arial" w:cs="Arial"/>
                      <w:color w:val="000000" w:themeColor="text1"/>
                      <w:sz w:val="22"/>
                      <w:szCs w:val="22"/>
                    </w:rPr>
                    <w:t xml:space="preserve"> proteins </w:t>
                  </w:r>
                  <w:r w:rsidR="00954271">
                    <w:rPr>
                      <w:rFonts w:ascii="Arial" w:hAnsi="Arial" w:cs="Arial"/>
                      <w:color w:val="000000" w:themeColor="text1"/>
                      <w:sz w:val="22"/>
                      <w:szCs w:val="22"/>
                    </w:rPr>
                    <w:t xml:space="preserve">found in members of the mononegaviral family </w:t>
                  </w:r>
                  <w:r w:rsidR="00954271" w:rsidRPr="00196215">
                    <w:rPr>
                      <w:rFonts w:ascii="Arial" w:hAnsi="Arial" w:cs="Arial"/>
                      <w:i/>
                      <w:iCs/>
                      <w:color w:val="000000" w:themeColor="text1"/>
                      <w:sz w:val="22"/>
                      <w:szCs w:val="22"/>
                    </w:rPr>
                    <w:t>Filoviridae</w:t>
                  </w:r>
                  <w:r w:rsidR="00954271">
                    <w:rPr>
                      <w:rFonts w:ascii="Arial" w:hAnsi="Arial" w:cs="Arial"/>
                      <w:color w:val="000000" w:themeColor="text1"/>
                      <w:sz w:val="22"/>
                      <w:szCs w:val="22"/>
                    </w:rPr>
                    <w:t xml:space="preserve">: </w:t>
                  </w:r>
                  <w:r w:rsidR="0040445E" w:rsidRPr="0040445E">
                    <w:rPr>
                      <w:rFonts w:ascii="Arial" w:hAnsi="Arial" w:cs="Arial"/>
                      <w:color w:val="000000" w:themeColor="text1"/>
                      <w:sz w:val="22"/>
                      <w:szCs w:val="22"/>
                    </w:rPr>
                    <w:t>nucleoprotein (NP), polymerase cofactor (VP35), glycoprotein (GP</w:t>
                  </w:r>
                  <w:r w:rsidR="0040445E" w:rsidRPr="0040445E">
                    <w:rPr>
                      <w:rFonts w:ascii="Arial" w:hAnsi="Arial" w:cs="Arial"/>
                      <w:color w:val="000000" w:themeColor="text1"/>
                      <w:sz w:val="22"/>
                      <w:szCs w:val="22"/>
                      <w:vertAlign w:val="subscript"/>
                    </w:rPr>
                    <w:t>1,2</w:t>
                  </w:r>
                  <w:r w:rsidR="0040445E" w:rsidRPr="0040445E">
                    <w:rPr>
                      <w:rFonts w:ascii="Arial" w:hAnsi="Arial" w:cs="Arial"/>
                      <w:color w:val="000000" w:themeColor="text1"/>
                      <w:sz w:val="22"/>
                      <w:szCs w:val="22"/>
                    </w:rPr>
                    <w:t>), transcriptional activator (VP30), and large protein (L) containing an RNA</w:t>
                  </w:r>
                  <w:r w:rsidR="0040445E" w:rsidRPr="0040445E">
                    <w:rPr>
                      <w:rFonts w:ascii="Arial" w:hAnsi="Arial" w:cs="Arial"/>
                      <w:color w:val="000000" w:themeColor="text1"/>
                      <w:sz w:val="22"/>
                      <w:szCs w:val="22"/>
                    </w:rPr>
                    <w:noBreakHyphen/>
                    <w:t xml:space="preserve">directed RNA polymerase (RdRp) domain, as well as 1–2 novel proteins </w:t>
                  </w:r>
                  <w:r w:rsidR="00503F95">
                    <w:rPr>
                      <w:rFonts w:ascii="Arial" w:hAnsi="Arial" w:cs="Arial"/>
                      <w:color w:val="000000" w:themeColor="text1"/>
                      <w:sz w:val="22"/>
                      <w:szCs w:val="22"/>
                    </w:rPr>
                    <w:t xml:space="preserve">(2-4) </w:t>
                  </w:r>
                  <w:r w:rsidR="0040445E" w:rsidRPr="0040445E">
                    <w:rPr>
                      <w:rFonts w:ascii="Arial" w:hAnsi="Arial" w:cs="Arial"/>
                      <w:color w:val="000000" w:themeColor="text1"/>
                      <w:sz w:val="22"/>
                      <w:szCs w:val="22"/>
                    </w:rPr>
                    <w:t>(</w:t>
                  </w:r>
                  <w:r w:rsidR="0040445E">
                    <w:rPr>
                      <w:rFonts w:ascii="Arial" w:hAnsi="Arial" w:cs="Arial"/>
                      <w:color w:val="000000" w:themeColor="text1"/>
                      <w:sz w:val="22"/>
                      <w:szCs w:val="22"/>
                    </w:rPr>
                    <w:t>Figure </w:t>
                  </w:r>
                  <w:r w:rsidR="0040445E" w:rsidRPr="0040445E">
                    <w:rPr>
                      <w:rFonts w:ascii="Arial" w:hAnsi="Arial" w:cs="Arial"/>
                      <w:color w:val="000000" w:themeColor="text1"/>
                      <w:sz w:val="22"/>
                      <w:szCs w:val="22"/>
                    </w:rPr>
                    <w:t>A).</w:t>
                  </w:r>
                </w:p>
                <w:p w14:paraId="49119148" w14:textId="66223F9B" w:rsidR="00716D81" w:rsidRDefault="0040445E" w:rsidP="001E2866">
                  <w:pPr>
                    <w:rPr>
                      <w:rFonts w:ascii="Arial" w:hAnsi="Arial" w:cs="Arial"/>
                      <w:color w:val="000000" w:themeColor="text1"/>
                      <w:sz w:val="22"/>
                      <w:szCs w:val="22"/>
                    </w:rPr>
                  </w:pPr>
                  <w:r w:rsidRPr="0040445E">
                    <w:rPr>
                      <w:rFonts w:ascii="Arial" w:hAnsi="Arial" w:cs="Arial"/>
                      <w:color w:val="000000" w:themeColor="text1"/>
                      <w:sz w:val="22"/>
                      <w:szCs w:val="22"/>
                    </w:rPr>
                    <w:t>Phylogenetic comparison of the FIWIV, OBLV, and KNDV genomic sequences (</w:t>
                  </w:r>
                  <w:r>
                    <w:rPr>
                      <w:rFonts w:ascii="Arial" w:hAnsi="Arial" w:cs="Arial"/>
                      <w:color w:val="000000" w:themeColor="text1"/>
                      <w:sz w:val="22"/>
                      <w:szCs w:val="22"/>
                    </w:rPr>
                    <w:t>Figure </w:t>
                  </w:r>
                  <w:r w:rsidRPr="0040445E">
                    <w:rPr>
                      <w:rFonts w:ascii="Arial" w:hAnsi="Arial" w:cs="Arial"/>
                      <w:color w:val="000000" w:themeColor="text1"/>
                      <w:sz w:val="22"/>
                      <w:szCs w:val="22"/>
                    </w:rPr>
                    <w:t>B) and</w:t>
                  </w:r>
                  <w:r w:rsidRPr="0040445E">
                    <w:rPr>
                      <w:rFonts w:ascii="Arial" w:hAnsi="Arial" w:cs="Arial"/>
                      <w:i/>
                      <w:iCs/>
                      <w:color w:val="000000" w:themeColor="text1"/>
                      <w:sz w:val="22"/>
                      <w:szCs w:val="22"/>
                    </w:rPr>
                    <w:t xml:space="preserve"> L </w:t>
                  </w:r>
                  <w:r w:rsidRPr="0040445E">
                    <w:rPr>
                      <w:rFonts w:ascii="Arial" w:hAnsi="Arial" w:cs="Arial"/>
                      <w:color w:val="000000" w:themeColor="text1"/>
                      <w:sz w:val="22"/>
                      <w:szCs w:val="22"/>
                    </w:rPr>
                    <w:t xml:space="preserve">gene sequences with those of representative classified viruses of the family </w:t>
                  </w:r>
                  <w:r w:rsidRPr="0040445E">
                    <w:rPr>
                      <w:rFonts w:ascii="Arial" w:hAnsi="Arial" w:cs="Arial"/>
                      <w:i/>
                      <w:color w:val="000000" w:themeColor="text1"/>
                      <w:sz w:val="22"/>
                      <w:szCs w:val="22"/>
                    </w:rPr>
                    <w:t>Filoviridae</w:t>
                  </w:r>
                  <w:r w:rsidRPr="0040445E">
                    <w:rPr>
                      <w:rFonts w:ascii="Arial" w:hAnsi="Arial" w:cs="Arial"/>
                      <w:color w:val="000000" w:themeColor="text1"/>
                      <w:sz w:val="22"/>
                      <w:szCs w:val="22"/>
                    </w:rPr>
                    <w:t xml:space="preserve"> (Figure C) confirmed genetic relationship</w:t>
                  </w:r>
                  <w:r w:rsidR="00954271">
                    <w:rPr>
                      <w:rFonts w:ascii="Arial" w:hAnsi="Arial" w:cs="Arial"/>
                      <w:color w:val="000000" w:themeColor="text1"/>
                      <w:sz w:val="22"/>
                      <w:szCs w:val="22"/>
                    </w:rPr>
                    <w:t>s</w:t>
                  </w:r>
                  <w:r w:rsidRPr="0040445E">
                    <w:rPr>
                      <w:rFonts w:ascii="Arial" w:hAnsi="Arial" w:cs="Arial"/>
                      <w:color w:val="000000" w:themeColor="text1"/>
                      <w:sz w:val="22"/>
                      <w:szCs w:val="22"/>
                    </w:rPr>
                    <w:t xml:space="preserve"> of all three viruses to </w:t>
                  </w:r>
                  <w:r w:rsidR="00954271" w:rsidRPr="00954271">
                    <w:rPr>
                      <w:rFonts w:ascii="Arial" w:hAnsi="Arial" w:cs="Arial"/>
                      <w:color w:val="000000" w:themeColor="text1"/>
                      <w:sz w:val="22"/>
                      <w:szCs w:val="22"/>
                    </w:rPr>
                    <w:t xml:space="preserve">Huángjiāo virus </w:t>
                  </w:r>
                  <w:r w:rsidR="00954271">
                    <w:rPr>
                      <w:rFonts w:ascii="Arial" w:hAnsi="Arial" w:cs="Arial"/>
                      <w:color w:val="000000" w:themeColor="text1"/>
                      <w:sz w:val="22"/>
                      <w:szCs w:val="22"/>
                    </w:rPr>
                    <w:t>(</w:t>
                  </w:r>
                  <w:r w:rsidRPr="0040445E">
                    <w:rPr>
                      <w:rFonts w:ascii="Arial" w:hAnsi="Arial" w:cs="Arial"/>
                      <w:color w:val="000000" w:themeColor="text1"/>
                      <w:sz w:val="22"/>
                      <w:szCs w:val="22"/>
                    </w:rPr>
                    <w:t>HUJV</w:t>
                  </w:r>
                  <w:r w:rsidR="00954271">
                    <w:rPr>
                      <w:rFonts w:ascii="Arial" w:hAnsi="Arial" w:cs="Arial"/>
                      <w:color w:val="000000" w:themeColor="text1"/>
                      <w:sz w:val="22"/>
                      <w:szCs w:val="22"/>
                    </w:rPr>
                    <w:t xml:space="preserve">; </w:t>
                  </w:r>
                  <w:r w:rsidR="00954271" w:rsidRPr="00196215">
                    <w:rPr>
                      <w:rFonts w:ascii="Arial" w:hAnsi="Arial" w:cs="Arial"/>
                      <w:i/>
                      <w:iCs/>
                      <w:color w:val="000000" w:themeColor="text1"/>
                      <w:sz w:val="22"/>
                      <w:szCs w:val="22"/>
                    </w:rPr>
                    <w:t>Filoviridae</w:t>
                  </w:r>
                  <w:r w:rsidR="00954271">
                    <w:rPr>
                      <w:rFonts w:ascii="Arial" w:hAnsi="Arial" w:cs="Arial"/>
                      <w:color w:val="000000" w:themeColor="text1"/>
                      <w:sz w:val="22"/>
                      <w:szCs w:val="22"/>
                    </w:rPr>
                    <w:t xml:space="preserve">: </w:t>
                  </w:r>
                  <w:r w:rsidR="00954271" w:rsidRPr="00196215">
                    <w:rPr>
                      <w:rFonts w:ascii="Arial" w:hAnsi="Arial" w:cs="Arial"/>
                      <w:i/>
                      <w:iCs/>
                      <w:color w:val="000000" w:themeColor="text1"/>
                      <w:sz w:val="22"/>
                      <w:szCs w:val="22"/>
                    </w:rPr>
                    <w:t>Thamnovirus</w:t>
                  </w:r>
                  <w:r w:rsidR="00954271">
                    <w:rPr>
                      <w:rFonts w:ascii="Arial" w:hAnsi="Arial" w:cs="Arial"/>
                      <w:color w:val="000000" w:themeColor="text1"/>
                      <w:sz w:val="22"/>
                      <w:szCs w:val="22"/>
                    </w:rPr>
                    <w:t>)</w:t>
                  </w:r>
                  <w:r w:rsidRPr="0040445E">
                    <w:rPr>
                      <w:rFonts w:ascii="Arial" w:hAnsi="Arial" w:cs="Arial"/>
                      <w:color w:val="000000" w:themeColor="text1"/>
                      <w:sz w:val="22"/>
                      <w:szCs w:val="22"/>
                    </w:rPr>
                    <w:t xml:space="preserve">. The current filovirus sequence-based genus and species demarcation criteria are ≥55% and ≥23% sequence divergence over </w:t>
                  </w:r>
                  <w:r w:rsidR="00954271">
                    <w:rPr>
                      <w:rFonts w:ascii="Arial" w:hAnsi="Arial" w:cs="Arial"/>
                      <w:color w:val="000000" w:themeColor="text1"/>
                      <w:sz w:val="22"/>
                      <w:szCs w:val="22"/>
                    </w:rPr>
                    <w:t>coding/near-</w:t>
                  </w:r>
                  <w:r w:rsidRPr="0040445E">
                    <w:rPr>
                      <w:rFonts w:ascii="Arial" w:hAnsi="Arial" w:cs="Arial"/>
                      <w:color w:val="000000" w:themeColor="text1"/>
                      <w:sz w:val="22"/>
                      <w:szCs w:val="22"/>
                    </w:rPr>
                    <w:t xml:space="preserve">complete genome sequences using </w:t>
                  </w:r>
                  <w:r w:rsidRPr="0040445E">
                    <w:rPr>
                      <w:rFonts w:ascii="Arial" w:hAnsi="Arial" w:cs="Arial"/>
                      <w:color w:val="000000" w:themeColor="text1"/>
                      <w:sz w:val="22"/>
                      <w:szCs w:val="22"/>
                      <w:u w:val="single"/>
                    </w:rPr>
                    <w:t>PA</w:t>
                  </w:r>
                  <w:r w:rsidRPr="0040445E">
                    <w:rPr>
                      <w:rFonts w:ascii="Arial" w:hAnsi="Arial" w:cs="Arial"/>
                      <w:color w:val="000000" w:themeColor="text1"/>
                      <w:sz w:val="22"/>
                      <w:szCs w:val="22"/>
                    </w:rPr>
                    <w:t xml:space="preserve">irwise </w:t>
                  </w:r>
                  <w:r w:rsidRPr="0040445E">
                    <w:rPr>
                      <w:rFonts w:ascii="Arial" w:hAnsi="Arial" w:cs="Arial"/>
                      <w:color w:val="000000" w:themeColor="text1"/>
                      <w:sz w:val="22"/>
                      <w:szCs w:val="22"/>
                      <w:u w:val="single"/>
                    </w:rPr>
                    <w:t>S</w:t>
                  </w:r>
                  <w:r w:rsidRPr="0040445E">
                    <w:rPr>
                      <w:rFonts w:ascii="Arial" w:hAnsi="Arial" w:cs="Arial"/>
                      <w:color w:val="000000" w:themeColor="text1"/>
                      <w:sz w:val="22"/>
                      <w:szCs w:val="22"/>
                    </w:rPr>
                    <w:t xml:space="preserve">equence </w:t>
                  </w:r>
                  <w:r w:rsidRPr="0040445E">
                    <w:rPr>
                      <w:rFonts w:ascii="Arial" w:hAnsi="Arial" w:cs="Arial"/>
                      <w:color w:val="000000" w:themeColor="text1"/>
                      <w:sz w:val="22"/>
                      <w:szCs w:val="22"/>
                      <w:u w:val="single"/>
                    </w:rPr>
                    <w:t>C</w:t>
                  </w:r>
                  <w:r w:rsidRPr="0040445E">
                    <w:rPr>
                      <w:rFonts w:ascii="Arial" w:hAnsi="Arial" w:cs="Arial"/>
                      <w:color w:val="000000" w:themeColor="text1"/>
                      <w:sz w:val="22"/>
                      <w:szCs w:val="22"/>
                    </w:rPr>
                    <w:t>omparison (PASC)</w:t>
                  </w:r>
                  <w:r w:rsidR="00503F95">
                    <w:rPr>
                      <w:rFonts w:ascii="Arial" w:hAnsi="Arial" w:cs="Arial"/>
                      <w:color w:val="000000" w:themeColor="text1"/>
                      <w:sz w:val="22"/>
                      <w:szCs w:val="22"/>
                    </w:rPr>
                    <w:t xml:space="preserve"> (3,5)</w:t>
                  </w:r>
                  <w:r w:rsidRPr="0040445E">
                    <w:rPr>
                      <w:rFonts w:ascii="Arial" w:hAnsi="Arial" w:cs="Arial"/>
                      <w:color w:val="000000" w:themeColor="text1"/>
                      <w:sz w:val="22"/>
                      <w:szCs w:val="22"/>
                    </w:rPr>
                    <w:t>. We found a pairwise divergence of 49% compared to HUJV using th</w:t>
                  </w:r>
                  <w:r w:rsidR="00503F95">
                    <w:rPr>
                      <w:rFonts w:ascii="Arial" w:hAnsi="Arial" w:cs="Arial"/>
                      <w:color w:val="000000" w:themeColor="text1"/>
                      <w:sz w:val="22"/>
                      <w:szCs w:val="22"/>
                    </w:rPr>
                    <w:t>e FIWIV genome sequence (Table</w:t>
                  </w:r>
                  <w:r w:rsidRPr="0040445E">
                    <w:rPr>
                      <w:rFonts w:ascii="Arial" w:hAnsi="Arial" w:cs="Arial"/>
                      <w:color w:val="000000" w:themeColor="text1"/>
                      <w:sz w:val="22"/>
                      <w:szCs w:val="22"/>
                    </w:rPr>
                    <w:t xml:space="preserve">), indicating that FIWIV is a member of a new thamnovirus species. The available KNDV genome sequence is 49% divergent from HUJV and 37% divergent from FIWIV (Table), suggesting that KNDV represents yet another novel thamnovirus species. In contrast, </w:t>
                  </w:r>
                  <w:r w:rsidR="00954271">
                    <w:rPr>
                      <w:rFonts w:ascii="Arial" w:hAnsi="Arial" w:cs="Arial"/>
                      <w:color w:val="000000" w:themeColor="text1"/>
                      <w:sz w:val="22"/>
                      <w:szCs w:val="22"/>
                    </w:rPr>
                    <w:t xml:space="preserve">the </w:t>
                  </w:r>
                  <w:r w:rsidRPr="0040445E">
                    <w:rPr>
                      <w:rFonts w:ascii="Arial" w:hAnsi="Arial" w:cs="Arial"/>
                      <w:color w:val="000000" w:themeColor="text1"/>
                      <w:sz w:val="22"/>
                      <w:szCs w:val="22"/>
                    </w:rPr>
                    <w:t xml:space="preserve">OBLV </w:t>
                  </w:r>
                  <w:r w:rsidR="00954271">
                    <w:rPr>
                      <w:rFonts w:ascii="Arial" w:hAnsi="Arial" w:cs="Arial"/>
                      <w:color w:val="000000" w:themeColor="text1"/>
                      <w:sz w:val="22"/>
                      <w:szCs w:val="22"/>
                    </w:rPr>
                    <w:t>genome sequence is more than</w:t>
                  </w:r>
                  <w:r w:rsidRPr="0040445E">
                    <w:rPr>
                      <w:rFonts w:ascii="Arial" w:hAnsi="Arial" w:cs="Arial"/>
                      <w:color w:val="000000" w:themeColor="text1"/>
                      <w:sz w:val="22"/>
                      <w:szCs w:val="22"/>
                    </w:rPr>
                    <w:t xml:space="preserve"> 62% divergent </w:t>
                  </w:r>
                  <w:r w:rsidR="00954271">
                    <w:rPr>
                      <w:rFonts w:ascii="Arial" w:hAnsi="Arial" w:cs="Arial"/>
                      <w:color w:val="000000" w:themeColor="text1"/>
                      <w:sz w:val="22"/>
                      <w:szCs w:val="22"/>
                    </w:rPr>
                    <w:t>from</w:t>
                  </w:r>
                  <w:r w:rsidRPr="0040445E">
                    <w:rPr>
                      <w:rFonts w:ascii="Arial" w:hAnsi="Arial" w:cs="Arial"/>
                      <w:color w:val="000000" w:themeColor="text1"/>
                      <w:sz w:val="22"/>
                      <w:szCs w:val="22"/>
                    </w:rPr>
                    <w:t xml:space="preserve"> HUVJ, FIWIV, and KNDV.</w:t>
                  </w:r>
                </w:p>
                <w:p w14:paraId="615E0A14" w14:textId="77777777" w:rsidR="00466B72" w:rsidRDefault="00466B72" w:rsidP="001E2866">
                  <w:pPr>
                    <w:rPr>
                      <w:rFonts w:ascii="Arial" w:hAnsi="Arial" w:cs="Arial"/>
                      <w:color w:val="000000" w:themeColor="text1"/>
                      <w:sz w:val="22"/>
                      <w:szCs w:val="22"/>
                    </w:rPr>
                  </w:pPr>
                </w:p>
                <w:p w14:paraId="178E6E24" w14:textId="59EB6B12" w:rsidR="0040445E" w:rsidRDefault="0040445E" w:rsidP="001E2866">
                  <w:pPr>
                    <w:rPr>
                      <w:rFonts w:ascii="Arial" w:hAnsi="Arial" w:cs="Arial"/>
                      <w:color w:val="000000" w:themeColor="text1"/>
                      <w:sz w:val="22"/>
                      <w:szCs w:val="22"/>
                    </w:rPr>
                  </w:pPr>
                  <w:r>
                    <w:rPr>
                      <w:rFonts w:ascii="Arial" w:hAnsi="Arial" w:cs="Arial"/>
                      <w:color w:val="000000" w:themeColor="text1"/>
                      <w:sz w:val="22"/>
                      <w:szCs w:val="22"/>
                    </w:rPr>
                    <w:t>Based on these results we propose:</w:t>
                  </w:r>
                </w:p>
                <w:p w14:paraId="37776816" w14:textId="77777777" w:rsidR="00503F95" w:rsidRDefault="00503F95" w:rsidP="001E2866">
                  <w:pPr>
                    <w:rPr>
                      <w:rFonts w:ascii="Arial" w:hAnsi="Arial" w:cs="Arial"/>
                      <w:color w:val="000000" w:themeColor="text1"/>
                      <w:sz w:val="22"/>
                      <w:szCs w:val="22"/>
                    </w:rPr>
                  </w:pPr>
                </w:p>
                <w:p w14:paraId="3FFD0F11" w14:textId="4AEF0097" w:rsidR="0040445E" w:rsidRDefault="0040445E" w:rsidP="0040445E">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to establish </w:t>
                  </w:r>
                  <w:r w:rsidRPr="0040445E">
                    <w:rPr>
                      <w:rFonts w:ascii="Arial" w:hAnsi="Arial" w:cs="Arial"/>
                      <w:color w:val="000000" w:themeColor="text1"/>
                      <w:sz w:val="22"/>
                      <w:szCs w:val="22"/>
                    </w:rPr>
                    <w:t xml:space="preserve">one new filovirid genus, </w:t>
                  </w:r>
                  <w:r w:rsidRPr="0040445E">
                    <w:rPr>
                      <w:rFonts w:ascii="Arial" w:hAnsi="Arial" w:cs="Arial"/>
                      <w:i/>
                      <w:color w:val="000000" w:themeColor="text1"/>
                      <w:sz w:val="22"/>
                      <w:szCs w:val="22"/>
                    </w:rPr>
                    <w:t>Oblavirus</w:t>
                  </w:r>
                  <w:r w:rsidRPr="0040445E">
                    <w:rPr>
                      <w:rFonts w:ascii="Arial" w:hAnsi="Arial" w:cs="Arial"/>
                      <w:color w:val="000000" w:themeColor="text1"/>
                      <w:sz w:val="22"/>
                      <w:szCs w:val="22"/>
                    </w:rPr>
                    <w:t>, including one new species (</w:t>
                  </w:r>
                  <w:r w:rsidRPr="0040445E">
                    <w:rPr>
                      <w:rFonts w:ascii="Arial" w:hAnsi="Arial" w:cs="Arial"/>
                      <w:i/>
                      <w:color w:val="000000" w:themeColor="text1"/>
                      <w:sz w:val="22"/>
                      <w:szCs w:val="22"/>
                    </w:rPr>
                    <w:t>Oblavirus percae</w:t>
                  </w:r>
                  <w:r w:rsidRPr="0040445E">
                    <w:rPr>
                      <w:rFonts w:ascii="Arial" w:hAnsi="Arial" w:cs="Arial"/>
                      <w:color w:val="000000" w:themeColor="text1"/>
                      <w:sz w:val="22"/>
                      <w:szCs w:val="22"/>
                    </w:rPr>
                    <w:t xml:space="preserve">), </w:t>
                  </w:r>
                  <w:r w:rsidR="00954271">
                    <w:rPr>
                      <w:rFonts w:ascii="Arial" w:hAnsi="Arial" w:cs="Arial"/>
                      <w:color w:val="000000" w:themeColor="text1"/>
                      <w:sz w:val="22"/>
                      <w:szCs w:val="22"/>
                    </w:rPr>
                    <w:t xml:space="preserve">to </w:t>
                  </w:r>
                  <w:r>
                    <w:rPr>
                      <w:rFonts w:ascii="Arial" w:hAnsi="Arial" w:cs="Arial"/>
                      <w:color w:val="000000" w:themeColor="text1"/>
                      <w:sz w:val="22"/>
                      <w:szCs w:val="22"/>
                    </w:rPr>
                    <w:t>accommodat</w:t>
                  </w:r>
                  <w:r w:rsidR="00954271">
                    <w:rPr>
                      <w:rFonts w:ascii="Arial" w:hAnsi="Arial" w:cs="Arial"/>
                      <w:color w:val="000000" w:themeColor="text1"/>
                      <w:sz w:val="22"/>
                      <w:szCs w:val="22"/>
                    </w:rPr>
                    <w:t>e</w:t>
                  </w:r>
                  <w:r>
                    <w:rPr>
                      <w:rFonts w:ascii="Arial" w:hAnsi="Arial" w:cs="Arial"/>
                      <w:color w:val="000000" w:themeColor="text1"/>
                      <w:sz w:val="22"/>
                      <w:szCs w:val="22"/>
                    </w:rPr>
                    <w:t xml:space="preserve"> OBLV</w:t>
                  </w:r>
                  <w:r w:rsidR="00954271">
                    <w:rPr>
                      <w:rFonts w:ascii="Arial" w:hAnsi="Arial" w:cs="Arial"/>
                      <w:color w:val="000000" w:themeColor="text1"/>
                      <w:sz w:val="22"/>
                      <w:szCs w:val="22"/>
                    </w:rPr>
                    <w:t>;</w:t>
                  </w:r>
                </w:p>
                <w:p w14:paraId="198414E5" w14:textId="4DF66E2E" w:rsidR="00466B72" w:rsidRDefault="0040445E" w:rsidP="0040445E">
                  <w:pPr>
                    <w:pStyle w:val="ListParagraph"/>
                    <w:numPr>
                      <w:ilvl w:val="0"/>
                      <w:numId w:val="4"/>
                    </w:numPr>
                    <w:rPr>
                      <w:rFonts w:ascii="Arial" w:hAnsi="Arial" w:cs="Arial"/>
                      <w:color w:val="000000" w:themeColor="text1"/>
                      <w:sz w:val="22"/>
                      <w:szCs w:val="22"/>
                    </w:rPr>
                  </w:pPr>
                  <w:r>
                    <w:rPr>
                      <w:rFonts w:ascii="Arial" w:hAnsi="Arial" w:cs="Arial"/>
                      <w:color w:val="000000" w:themeColor="text1"/>
                      <w:sz w:val="22"/>
                      <w:szCs w:val="22"/>
                    </w:rPr>
                    <w:t xml:space="preserve">to establish a </w:t>
                  </w:r>
                  <w:r w:rsidR="00466B72">
                    <w:rPr>
                      <w:rFonts w:ascii="Arial" w:hAnsi="Arial" w:cs="Arial"/>
                      <w:color w:val="000000" w:themeColor="text1"/>
                      <w:sz w:val="22"/>
                      <w:szCs w:val="22"/>
                    </w:rPr>
                    <w:t xml:space="preserve">new </w:t>
                  </w:r>
                  <w:r>
                    <w:rPr>
                      <w:rFonts w:ascii="Arial" w:hAnsi="Arial" w:cs="Arial"/>
                      <w:color w:val="000000" w:themeColor="text1"/>
                      <w:sz w:val="22"/>
                      <w:szCs w:val="22"/>
                    </w:rPr>
                    <w:t xml:space="preserve">species in </w:t>
                  </w:r>
                  <w:r w:rsidR="00466B72">
                    <w:rPr>
                      <w:rFonts w:ascii="Arial" w:hAnsi="Arial" w:cs="Arial"/>
                      <w:color w:val="000000" w:themeColor="text1"/>
                      <w:sz w:val="22"/>
                      <w:szCs w:val="22"/>
                    </w:rPr>
                    <w:t xml:space="preserve">the </w:t>
                  </w:r>
                  <w:r>
                    <w:rPr>
                      <w:rFonts w:ascii="Arial" w:hAnsi="Arial" w:cs="Arial"/>
                      <w:color w:val="000000" w:themeColor="text1"/>
                      <w:sz w:val="22"/>
                      <w:szCs w:val="22"/>
                    </w:rPr>
                    <w:t xml:space="preserve">filovirid genus </w:t>
                  </w:r>
                  <w:r w:rsidRPr="0040445E">
                    <w:rPr>
                      <w:rFonts w:ascii="Arial" w:hAnsi="Arial" w:cs="Arial"/>
                      <w:i/>
                      <w:color w:val="000000" w:themeColor="text1"/>
                      <w:sz w:val="22"/>
                      <w:szCs w:val="22"/>
                    </w:rPr>
                    <w:t>Thamnovirus</w:t>
                  </w:r>
                  <w:r w:rsidR="00466B72">
                    <w:rPr>
                      <w:rFonts w:ascii="Arial" w:hAnsi="Arial" w:cs="Arial"/>
                      <w:color w:val="000000" w:themeColor="text1"/>
                      <w:sz w:val="22"/>
                      <w:szCs w:val="22"/>
                    </w:rPr>
                    <w:t xml:space="preserve">: </w:t>
                  </w:r>
                  <w:r w:rsidRPr="00466B72">
                    <w:rPr>
                      <w:rFonts w:ascii="Arial" w:hAnsi="Arial" w:cs="Arial"/>
                      <w:i/>
                      <w:color w:val="000000" w:themeColor="text1"/>
                      <w:sz w:val="22"/>
                      <w:szCs w:val="22"/>
                    </w:rPr>
                    <w:t>Thamnovirus percae</w:t>
                  </w:r>
                  <w:r w:rsidR="00466B72">
                    <w:rPr>
                      <w:rFonts w:ascii="Arial" w:hAnsi="Arial" w:cs="Arial"/>
                      <w:i/>
                      <w:color w:val="000000" w:themeColor="text1"/>
                      <w:sz w:val="22"/>
                      <w:szCs w:val="22"/>
                    </w:rPr>
                    <w:t>,</w:t>
                  </w:r>
                  <w:r w:rsidRPr="0040445E">
                    <w:rPr>
                      <w:rFonts w:ascii="Arial" w:hAnsi="Arial" w:cs="Arial"/>
                      <w:color w:val="000000" w:themeColor="text1"/>
                      <w:sz w:val="22"/>
                      <w:szCs w:val="22"/>
                    </w:rPr>
                    <w:t xml:space="preserve"> </w:t>
                  </w:r>
                  <w:r w:rsidR="00954271">
                    <w:rPr>
                      <w:rFonts w:ascii="Arial" w:hAnsi="Arial" w:cs="Arial"/>
                      <w:color w:val="000000" w:themeColor="text1"/>
                      <w:sz w:val="22"/>
                      <w:szCs w:val="22"/>
                    </w:rPr>
                    <w:t xml:space="preserve">to </w:t>
                  </w:r>
                  <w:r w:rsidR="00466B72">
                    <w:rPr>
                      <w:rFonts w:ascii="Arial" w:hAnsi="Arial" w:cs="Arial"/>
                      <w:color w:val="000000" w:themeColor="text1"/>
                      <w:sz w:val="22"/>
                      <w:szCs w:val="22"/>
                    </w:rPr>
                    <w:t>accommodat</w:t>
                  </w:r>
                  <w:r w:rsidR="00954271">
                    <w:rPr>
                      <w:rFonts w:ascii="Arial" w:hAnsi="Arial" w:cs="Arial"/>
                      <w:color w:val="000000" w:themeColor="text1"/>
                      <w:sz w:val="22"/>
                      <w:szCs w:val="22"/>
                    </w:rPr>
                    <w:t>e</w:t>
                  </w:r>
                  <w:r w:rsidR="00466B72">
                    <w:rPr>
                      <w:rFonts w:ascii="Arial" w:hAnsi="Arial" w:cs="Arial"/>
                      <w:color w:val="000000" w:themeColor="text1"/>
                      <w:sz w:val="22"/>
                      <w:szCs w:val="22"/>
                    </w:rPr>
                    <w:t xml:space="preserve"> FIWIV</w:t>
                  </w:r>
                  <w:r w:rsidR="00954271">
                    <w:rPr>
                      <w:rFonts w:ascii="Arial" w:hAnsi="Arial" w:cs="Arial"/>
                      <w:color w:val="000000" w:themeColor="text1"/>
                      <w:sz w:val="22"/>
                      <w:szCs w:val="22"/>
                    </w:rPr>
                    <w:t>; and</w:t>
                  </w:r>
                </w:p>
                <w:p w14:paraId="334AAD1F" w14:textId="01EDC5F0" w:rsidR="00AD25DE" w:rsidRPr="00466B72" w:rsidRDefault="00466B72" w:rsidP="0040445E">
                  <w:pPr>
                    <w:pStyle w:val="ListParagraph"/>
                    <w:numPr>
                      <w:ilvl w:val="0"/>
                      <w:numId w:val="4"/>
                    </w:numPr>
                    <w:rPr>
                      <w:rFonts w:ascii="Arial" w:hAnsi="Arial" w:cs="Arial"/>
                      <w:i/>
                      <w:color w:val="000000" w:themeColor="text1"/>
                      <w:sz w:val="22"/>
                      <w:szCs w:val="22"/>
                    </w:rPr>
                  </w:pPr>
                  <w:r>
                    <w:rPr>
                      <w:rFonts w:ascii="Arial" w:hAnsi="Arial" w:cs="Arial"/>
                      <w:color w:val="000000" w:themeColor="text1"/>
                      <w:sz w:val="22"/>
                      <w:szCs w:val="22"/>
                    </w:rPr>
                    <w:t xml:space="preserve">to establish a new species in the filovirid genus </w:t>
                  </w:r>
                  <w:r w:rsidRPr="00466B72">
                    <w:rPr>
                      <w:rFonts w:ascii="Arial" w:hAnsi="Arial" w:cs="Arial"/>
                      <w:i/>
                      <w:color w:val="000000" w:themeColor="text1"/>
                      <w:sz w:val="22"/>
                      <w:szCs w:val="22"/>
                    </w:rPr>
                    <w:t>Thamnovirus</w:t>
                  </w:r>
                  <w:r>
                    <w:rPr>
                      <w:rFonts w:ascii="Arial" w:hAnsi="Arial" w:cs="Arial"/>
                      <w:color w:val="000000" w:themeColor="text1"/>
                      <w:sz w:val="22"/>
                      <w:szCs w:val="22"/>
                    </w:rPr>
                    <w:t xml:space="preserve">: </w:t>
                  </w:r>
                  <w:r w:rsidRPr="00466B72">
                    <w:rPr>
                      <w:rFonts w:ascii="Arial" w:hAnsi="Arial" w:cs="Arial"/>
                      <w:i/>
                      <w:color w:val="000000" w:themeColor="text1"/>
                      <w:sz w:val="22"/>
                      <w:szCs w:val="22"/>
                    </w:rPr>
                    <w:t>Thamnovirus kanderense</w:t>
                  </w:r>
                  <w:r w:rsidRPr="00196215">
                    <w:rPr>
                      <w:rFonts w:ascii="Arial" w:hAnsi="Arial" w:cs="Arial"/>
                      <w:iCs/>
                      <w:color w:val="000000" w:themeColor="text1"/>
                      <w:sz w:val="22"/>
                      <w:szCs w:val="22"/>
                    </w:rPr>
                    <w:t xml:space="preserve">, </w:t>
                  </w:r>
                  <w:r w:rsidR="00954271">
                    <w:rPr>
                      <w:rFonts w:ascii="Arial" w:hAnsi="Arial" w:cs="Arial"/>
                      <w:color w:val="000000" w:themeColor="text1"/>
                      <w:sz w:val="22"/>
                      <w:szCs w:val="22"/>
                    </w:rPr>
                    <w:t xml:space="preserve">to </w:t>
                  </w:r>
                  <w:r>
                    <w:rPr>
                      <w:rFonts w:ascii="Arial" w:hAnsi="Arial" w:cs="Arial"/>
                      <w:color w:val="000000" w:themeColor="text1"/>
                      <w:sz w:val="22"/>
                      <w:szCs w:val="22"/>
                    </w:rPr>
                    <w:t>accommodat</w:t>
                  </w:r>
                  <w:r w:rsidR="00954271">
                    <w:rPr>
                      <w:rFonts w:ascii="Arial" w:hAnsi="Arial" w:cs="Arial"/>
                      <w:color w:val="000000" w:themeColor="text1"/>
                      <w:sz w:val="22"/>
                      <w:szCs w:val="22"/>
                    </w:rPr>
                    <w:t>e</w:t>
                  </w:r>
                  <w:r>
                    <w:rPr>
                      <w:rFonts w:ascii="Arial" w:hAnsi="Arial" w:cs="Arial"/>
                      <w:color w:val="000000" w:themeColor="text1"/>
                      <w:sz w:val="22"/>
                      <w:szCs w:val="22"/>
                    </w:rPr>
                    <w:t xml:space="preserve"> KNDV</w:t>
                  </w:r>
                  <w:r w:rsidR="00954271">
                    <w:rPr>
                      <w:rFonts w:ascii="Arial" w:hAnsi="Arial" w:cs="Arial"/>
                      <w:color w:val="000000" w:themeColor="text1"/>
                      <w:sz w:val="22"/>
                      <w:szCs w:val="22"/>
                    </w:rPr>
                    <w:t>.</w:t>
                  </w:r>
                </w:p>
                <w:p w14:paraId="362AA90F" w14:textId="4B78186A" w:rsidR="00466B72" w:rsidRDefault="00466B72" w:rsidP="00466B72">
                  <w:pPr>
                    <w:rPr>
                      <w:rFonts w:ascii="Arial" w:hAnsi="Arial" w:cs="Arial"/>
                      <w:i/>
                      <w:color w:val="000000" w:themeColor="text1"/>
                      <w:sz w:val="22"/>
                      <w:szCs w:val="22"/>
                    </w:rPr>
                  </w:pPr>
                </w:p>
                <w:p w14:paraId="594D88CD" w14:textId="0B712857" w:rsidR="00466B72" w:rsidRDefault="00466B72" w:rsidP="00466B72">
                  <w:pPr>
                    <w:rPr>
                      <w:rFonts w:ascii="Arial" w:hAnsi="Arial" w:cs="Arial"/>
                      <w:i/>
                      <w:color w:val="000000" w:themeColor="text1"/>
                      <w:sz w:val="22"/>
                      <w:szCs w:val="22"/>
                    </w:rPr>
                  </w:pPr>
                  <w:r w:rsidRPr="00503F95">
                    <w:rPr>
                      <w:rFonts w:ascii="Arial" w:hAnsi="Arial" w:cs="Arial"/>
                      <w:b/>
                      <w:color w:val="000000" w:themeColor="text1"/>
                      <w:sz w:val="22"/>
                      <w:szCs w:val="22"/>
                    </w:rPr>
                    <w:t>References</w:t>
                  </w:r>
                  <w:r>
                    <w:rPr>
                      <w:rFonts w:ascii="Arial" w:hAnsi="Arial" w:cs="Arial"/>
                      <w:i/>
                      <w:color w:val="000000" w:themeColor="text1"/>
                      <w:sz w:val="22"/>
                      <w:szCs w:val="22"/>
                    </w:rPr>
                    <w:t>:</w:t>
                  </w:r>
                </w:p>
                <w:p w14:paraId="0F2553D8" w14:textId="260E4ED3" w:rsidR="00466B72" w:rsidRDefault="00466B72" w:rsidP="00466B72">
                  <w:pPr>
                    <w:rPr>
                      <w:rFonts w:ascii="Arial" w:hAnsi="Arial" w:cs="Arial"/>
                      <w:i/>
                      <w:color w:val="000000" w:themeColor="text1"/>
                      <w:sz w:val="22"/>
                      <w:szCs w:val="22"/>
                    </w:rPr>
                  </w:pPr>
                </w:p>
                <w:p w14:paraId="0E6C92CB" w14:textId="7E3FB065" w:rsidR="00503F95" w:rsidRDefault="00503F95" w:rsidP="00503F95">
                  <w:pPr>
                    <w:pStyle w:val="ListParagraph"/>
                    <w:numPr>
                      <w:ilvl w:val="0"/>
                      <w:numId w:val="6"/>
                    </w:numPr>
                    <w:rPr>
                      <w:rFonts w:ascii="Arial" w:hAnsi="Arial" w:cs="Arial"/>
                      <w:color w:val="000000" w:themeColor="text1"/>
                      <w:sz w:val="22"/>
                      <w:szCs w:val="22"/>
                    </w:rPr>
                  </w:pPr>
                  <w:r w:rsidRPr="00503F95">
                    <w:rPr>
                      <w:rFonts w:ascii="Arial" w:hAnsi="Arial" w:cs="Arial"/>
                      <w:color w:val="000000" w:themeColor="text1"/>
                      <w:sz w:val="22"/>
                      <w:szCs w:val="22"/>
                    </w:rPr>
                    <w:t>Hierweger MM, Koch MC, Rupp M, Maes P, Di Paola N, Bruggmann R, Kuhn JH, Schmidt-Posthaus H, Seuberlich T. Discovery of the first freshwater fish filoviruses and hantaviruses</w:t>
                  </w:r>
                  <w:r>
                    <w:rPr>
                      <w:rFonts w:ascii="Arial" w:hAnsi="Arial" w:cs="Arial"/>
                      <w:color w:val="000000" w:themeColor="text1"/>
                      <w:sz w:val="22"/>
                      <w:szCs w:val="22"/>
                    </w:rPr>
                    <w:t>. Submitted to Emerg Infect Dis. 2021.</w:t>
                  </w:r>
                </w:p>
                <w:p w14:paraId="7AEAE521" w14:textId="14EE20CA" w:rsidR="00503F95" w:rsidRPr="00503F95" w:rsidRDefault="00503F95" w:rsidP="00503F95">
                  <w:pPr>
                    <w:pStyle w:val="ListParagraph"/>
                    <w:numPr>
                      <w:ilvl w:val="0"/>
                      <w:numId w:val="6"/>
                    </w:numPr>
                    <w:rPr>
                      <w:rFonts w:ascii="Arial" w:hAnsi="Arial" w:cs="Arial"/>
                      <w:color w:val="000000" w:themeColor="text1"/>
                      <w:sz w:val="22"/>
                      <w:szCs w:val="22"/>
                    </w:rPr>
                  </w:pPr>
                  <w:r w:rsidRPr="00503F95">
                    <w:rPr>
                      <w:rFonts w:ascii="Arial" w:hAnsi="Arial" w:cs="Arial"/>
                      <w:color w:val="000000" w:themeColor="text1"/>
                      <w:sz w:val="22"/>
                      <w:szCs w:val="22"/>
                    </w:rPr>
                    <w:t>M, Lin X-D, Chen X, Tian J-H, Chen L-J, Li K, et al. The evolutionary history of vertebrate RNA viruses. Nature. 2018 Apr;556(7700):197-202.</w:t>
                  </w:r>
                </w:p>
                <w:p w14:paraId="20651209" w14:textId="6FF81774" w:rsidR="00503F95" w:rsidRPr="00503F95" w:rsidRDefault="00503F95" w:rsidP="00503F95">
                  <w:pPr>
                    <w:pStyle w:val="ListParagraph"/>
                    <w:numPr>
                      <w:ilvl w:val="0"/>
                      <w:numId w:val="6"/>
                    </w:numPr>
                    <w:rPr>
                      <w:rFonts w:ascii="Arial" w:hAnsi="Arial" w:cs="Arial"/>
                      <w:color w:val="000000" w:themeColor="text1"/>
                      <w:sz w:val="22"/>
                      <w:szCs w:val="22"/>
                    </w:rPr>
                  </w:pPr>
                  <w:r w:rsidRPr="00503F95">
                    <w:rPr>
                      <w:rFonts w:ascii="Arial" w:hAnsi="Arial" w:cs="Arial"/>
                      <w:color w:val="000000" w:themeColor="text1"/>
                      <w:sz w:val="22"/>
                      <w:szCs w:val="22"/>
                    </w:rPr>
                    <w:lastRenderedPageBreak/>
                    <w:t xml:space="preserve">Kuhn JH, Amarasinghe GK, Basler CF, Bavari S, Bukreyev A, Chandran K, et al. ICTV virus taxonomy profile: </w:t>
                  </w:r>
                  <w:r w:rsidRPr="00196215">
                    <w:rPr>
                      <w:rFonts w:ascii="Arial" w:hAnsi="Arial" w:cs="Arial"/>
                      <w:i/>
                      <w:iCs/>
                      <w:color w:val="000000" w:themeColor="text1"/>
                      <w:sz w:val="22"/>
                      <w:szCs w:val="22"/>
                    </w:rPr>
                    <w:t>Filoviridae</w:t>
                  </w:r>
                  <w:r w:rsidRPr="00503F95">
                    <w:rPr>
                      <w:rFonts w:ascii="Arial" w:hAnsi="Arial" w:cs="Arial"/>
                      <w:color w:val="000000" w:themeColor="text1"/>
                      <w:sz w:val="22"/>
                      <w:szCs w:val="22"/>
                    </w:rPr>
                    <w:t>. J Gen Virol. 2019 Jun;100(6):911-2.</w:t>
                  </w:r>
                </w:p>
                <w:p w14:paraId="0DF2C7D3" w14:textId="6B4C82A4" w:rsidR="00466B72" w:rsidRPr="00503F95" w:rsidRDefault="00503F95" w:rsidP="00503F95">
                  <w:pPr>
                    <w:pStyle w:val="ListParagraph"/>
                    <w:numPr>
                      <w:ilvl w:val="0"/>
                      <w:numId w:val="6"/>
                    </w:numPr>
                    <w:rPr>
                      <w:rFonts w:ascii="Arial" w:hAnsi="Arial" w:cs="Arial"/>
                      <w:color w:val="000000" w:themeColor="text1"/>
                      <w:sz w:val="22"/>
                      <w:szCs w:val="22"/>
                    </w:rPr>
                  </w:pPr>
                  <w:r w:rsidRPr="00503F95">
                    <w:rPr>
                      <w:rFonts w:ascii="Arial" w:hAnsi="Arial" w:cs="Arial"/>
                      <w:color w:val="000000" w:themeColor="text1"/>
                      <w:sz w:val="22"/>
                      <w:szCs w:val="22"/>
                    </w:rPr>
                    <w:t>Hume AJ, Mühlberger E. Distinct genome replication and transcription strategies within the growing filovirus family. J Mol Biol. 2019 Oct 4;431(21):4290-320.</w:t>
                  </w:r>
                </w:p>
                <w:p w14:paraId="7043058B" w14:textId="5D1CB09B" w:rsidR="00503F95" w:rsidRPr="00503F95" w:rsidRDefault="00503F95" w:rsidP="00503F95">
                  <w:pPr>
                    <w:pStyle w:val="ListParagraph"/>
                    <w:numPr>
                      <w:ilvl w:val="0"/>
                      <w:numId w:val="6"/>
                    </w:numPr>
                    <w:rPr>
                      <w:rFonts w:ascii="Arial" w:hAnsi="Arial" w:cs="Arial"/>
                      <w:color w:val="000000" w:themeColor="text1"/>
                      <w:sz w:val="22"/>
                      <w:szCs w:val="22"/>
                    </w:rPr>
                  </w:pPr>
                  <w:r w:rsidRPr="00503F95">
                    <w:rPr>
                      <w:rFonts w:ascii="Arial" w:hAnsi="Arial" w:cs="Arial"/>
                      <w:color w:val="000000" w:themeColor="text1"/>
                      <w:sz w:val="22"/>
                      <w:szCs w:val="22"/>
                    </w:rPr>
                    <w:t>Bào Y, Amarasinghe GK, Basler CF, Bavari S, Bukreyev A, Chandran K, et al. Implementation of objective PASC-derived taxon demarcation criteria for official classification of filoviruses. Viruses. 2017 May 11;9(5):106.</w:t>
                  </w:r>
                </w:p>
                <w:p w14:paraId="01E21926" w14:textId="77777777" w:rsidR="00503F95" w:rsidRPr="00503F95" w:rsidRDefault="00503F95" w:rsidP="00503F95">
                  <w:pPr>
                    <w:rPr>
                      <w:rFonts w:ascii="Arial" w:hAnsi="Arial" w:cs="Arial"/>
                      <w:color w:val="000000" w:themeColor="text1"/>
                      <w:sz w:val="22"/>
                      <w:szCs w:val="22"/>
                    </w:rPr>
                  </w:pPr>
                </w:p>
                <w:p w14:paraId="7F7EDEB5" w14:textId="77777777" w:rsidR="00466B72" w:rsidRPr="00503F95" w:rsidRDefault="00466B72" w:rsidP="00466B72">
                  <w:pPr>
                    <w:pStyle w:val="ListParagraph"/>
                    <w:rPr>
                      <w:rFonts w:ascii="Arial" w:hAnsi="Arial" w:cs="Arial"/>
                      <w:color w:val="000000" w:themeColor="text1"/>
                      <w:sz w:val="22"/>
                      <w:szCs w:val="22"/>
                    </w:rPr>
                  </w:pPr>
                </w:p>
                <w:p w14:paraId="521EED0E" w14:textId="77777777" w:rsidR="00466B72" w:rsidRDefault="00466B72" w:rsidP="00466B72">
                  <w:pPr>
                    <w:rPr>
                      <w:rFonts w:ascii="Arial" w:hAnsi="Arial" w:cs="Arial"/>
                      <w:b/>
                      <w:color w:val="000000" w:themeColor="text1"/>
                      <w:sz w:val="22"/>
                      <w:szCs w:val="22"/>
                    </w:rPr>
                  </w:pPr>
                  <w:r w:rsidRPr="00466B72">
                    <w:rPr>
                      <w:rFonts w:ascii="Arial" w:hAnsi="Arial" w:cs="Arial"/>
                      <w:b/>
                      <w:color w:val="000000" w:themeColor="text1"/>
                      <w:sz w:val="22"/>
                      <w:szCs w:val="22"/>
                    </w:rPr>
                    <w:t>Supporting information</w:t>
                  </w:r>
                </w:p>
                <w:p w14:paraId="4AFC0710" w14:textId="77777777" w:rsidR="00466B72" w:rsidRDefault="00466B72" w:rsidP="00466B72">
                  <w:pPr>
                    <w:rPr>
                      <w:rFonts w:ascii="Arial" w:hAnsi="Arial" w:cs="Arial"/>
                      <w:b/>
                      <w:color w:val="000000" w:themeColor="text1"/>
                      <w:sz w:val="22"/>
                      <w:szCs w:val="22"/>
                    </w:rPr>
                  </w:pPr>
                </w:p>
                <w:p w14:paraId="55851538" w14:textId="77777777"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t xml:space="preserve">Figure </w:t>
                  </w:r>
                </w:p>
                <w:p w14:paraId="293788AC" w14:textId="77777777" w:rsidR="00466B72" w:rsidRDefault="00466B72" w:rsidP="00466B72">
                  <w:pPr>
                    <w:rPr>
                      <w:rFonts w:ascii="Arial" w:hAnsi="Arial" w:cs="Arial"/>
                      <w:b/>
                      <w:color w:val="000000" w:themeColor="text1"/>
                      <w:sz w:val="22"/>
                      <w:szCs w:val="22"/>
                    </w:rPr>
                  </w:pPr>
                </w:p>
                <w:p w14:paraId="4F7543FC" w14:textId="04739167"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t>A</w:t>
                  </w:r>
                </w:p>
                <w:p w14:paraId="74F5ED5F" w14:textId="35E8B4F5" w:rsidR="00466B72" w:rsidRDefault="00466B72" w:rsidP="00466B72">
                  <w:pPr>
                    <w:rPr>
                      <w:rFonts w:ascii="Arial" w:hAnsi="Arial" w:cs="Arial"/>
                      <w:b/>
                      <w:color w:val="000000" w:themeColor="text1"/>
                      <w:sz w:val="22"/>
                      <w:szCs w:val="22"/>
                    </w:rPr>
                  </w:pPr>
                </w:p>
                <w:p w14:paraId="3B72E389" w14:textId="461D6F03" w:rsidR="00466B72" w:rsidRDefault="00466B72" w:rsidP="00466B72">
                  <w:pPr>
                    <w:rPr>
                      <w:rFonts w:ascii="Arial" w:hAnsi="Arial" w:cs="Arial"/>
                      <w:b/>
                      <w:color w:val="000000" w:themeColor="text1"/>
                      <w:sz w:val="22"/>
                      <w:szCs w:val="22"/>
                    </w:rPr>
                  </w:pPr>
                  <w:r w:rsidRPr="00466B72">
                    <w:rPr>
                      <w:rFonts w:ascii="Arial" w:hAnsi="Arial" w:cs="Arial"/>
                      <w:b/>
                      <w:noProof/>
                      <w:color w:val="000000" w:themeColor="text1"/>
                      <w:sz w:val="22"/>
                      <w:szCs w:val="22"/>
                      <w:lang w:val="de-CH" w:eastAsia="de-CH"/>
                    </w:rPr>
                    <w:drawing>
                      <wp:inline distT="0" distB="0" distL="0" distR="0" wp14:anchorId="358EC4CE" wp14:editId="5A92A053">
                        <wp:extent cx="5162550" cy="1346200"/>
                        <wp:effectExtent l="0" t="0" r="0" b="6350"/>
                        <wp:docPr id="3" name="Picture 3" descr="G:\ITN\NeuroCenter\Forschung\Clinical_Neurovirology_group\Torsten\2020_Hierweger_NatComm\EID_2nd_prep\Figure_2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ITN\NeuroCenter\Forschung\Clinical_Neurovirology_group\Torsten\2020_Hierweger_NatComm\EID_2nd_prep\Figure_2A.tif"/>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5162550" cy="1346200"/>
                                </a:xfrm>
                                <a:prstGeom prst="rect">
                                  <a:avLst/>
                                </a:prstGeom>
                                <a:noFill/>
                                <a:ln>
                                  <a:noFill/>
                                </a:ln>
                              </pic:spPr>
                            </pic:pic>
                          </a:graphicData>
                        </a:graphic>
                      </wp:inline>
                    </w:drawing>
                  </w:r>
                </w:p>
                <w:p w14:paraId="011D01FB" w14:textId="50E1BB25" w:rsidR="00466B72" w:rsidRDefault="00466B72" w:rsidP="00466B72">
                  <w:pPr>
                    <w:rPr>
                      <w:rFonts w:ascii="Arial" w:hAnsi="Arial" w:cs="Arial"/>
                      <w:b/>
                      <w:color w:val="000000" w:themeColor="text1"/>
                      <w:sz w:val="22"/>
                      <w:szCs w:val="22"/>
                    </w:rPr>
                  </w:pPr>
                </w:p>
                <w:p w14:paraId="7ED566C9" w14:textId="00301A01"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t>B</w:t>
                  </w:r>
                </w:p>
                <w:p w14:paraId="50624D56" w14:textId="663DC631" w:rsidR="00466B72" w:rsidRDefault="00466B72" w:rsidP="00466B72">
                  <w:pPr>
                    <w:rPr>
                      <w:rFonts w:ascii="Arial" w:hAnsi="Arial" w:cs="Arial"/>
                      <w:b/>
                      <w:color w:val="000000" w:themeColor="text1"/>
                      <w:sz w:val="22"/>
                      <w:szCs w:val="22"/>
                    </w:rPr>
                  </w:pPr>
                </w:p>
                <w:p w14:paraId="6AE927E1" w14:textId="685730A6" w:rsidR="00466B72" w:rsidRDefault="00466B72" w:rsidP="00466B72">
                  <w:pPr>
                    <w:rPr>
                      <w:rFonts w:ascii="Arial" w:hAnsi="Arial" w:cs="Arial"/>
                      <w:b/>
                      <w:color w:val="000000" w:themeColor="text1"/>
                      <w:sz w:val="22"/>
                      <w:szCs w:val="22"/>
                    </w:rPr>
                  </w:pPr>
                  <w:r w:rsidRPr="00466B72">
                    <w:rPr>
                      <w:rFonts w:ascii="Arial" w:hAnsi="Arial" w:cs="Arial"/>
                      <w:b/>
                      <w:noProof/>
                      <w:color w:val="000000" w:themeColor="text1"/>
                      <w:sz w:val="22"/>
                      <w:szCs w:val="22"/>
                      <w:lang w:val="de-CH" w:eastAsia="de-CH"/>
                    </w:rPr>
                    <w:drawing>
                      <wp:inline distT="0" distB="0" distL="0" distR="0" wp14:anchorId="33FEAA2E" wp14:editId="03175594">
                        <wp:extent cx="5791200" cy="2261270"/>
                        <wp:effectExtent l="0" t="0" r="0" b="5715"/>
                        <wp:docPr id="4" name="Picture 4" descr="G:\ITN\NeuroCenter\Forschung\Clinical_Neurovirology_group\Torsten\2020_Hierweger_NatComm\EID_2nd_prep\Figure_2B.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ITN\NeuroCenter\Forschung\Clinical_Neurovirology_group\Torsten\2020_Hierweger_NatComm\EID_2nd_prep\Figure_2B.tif"/>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5796130" cy="2263195"/>
                                </a:xfrm>
                                <a:prstGeom prst="rect">
                                  <a:avLst/>
                                </a:prstGeom>
                                <a:noFill/>
                                <a:ln>
                                  <a:noFill/>
                                </a:ln>
                              </pic:spPr>
                            </pic:pic>
                          </a:graphicData>
                        </a:graphic>
                      </wp:inline>
                    </w:drawing>
                  </w:r>
                </w:p>
                <w:p w14:paraId="2FC596E5" w14:textId="77777777" w:rsidR="00466B72" w:rsidRDefault="00466B72" w:rsidP="00466B72">
                  <w:pPr>
                    <w:rPr>
                      <w:rFonts w:ascii="Arial" w:hAnsi="Arial" w:cs="Arial"/>
                      <w:b/>
                      <w:color w:val="000000" w:themeColor="text1"/>
                      <w:sz w:val="22"/>
                      <w:szCs w:val="22"/>
                    </w:rPr>
                  </w:pPr>
                </w:p>
                <w:p w14:paraId="388620D0" w14:textId="2B6A1FF5" w:rsidR="0025317A" w:rsidRDefault="0025317A" w:rsidP="00466B72">
                  <w:pPr>
                    <w:rPr>
                      <w:rFonts w:ascii="Arial" w:hAnsi="Arial" w:cs="Arial"/>
                      <w:b/>
                      <w:color w:val="000000" w:themeColor="text1"/>
                      <w:sz w:val="22"/>
                      <w:szCs w:val="22"/>
                    </w:rPr>
                  </w:pPr>
                </w:p>
                <w:p w14:paraId="2EC67D45" w14:textId="77777777" w:rsidR="00466B72" w:rsidRDefault="00466B72" w:rsidP="00466B72">
                  <w:pPr>
                    <w:rPr>
                      <w:rFonts w:ascii="Arial" w:hAnsi="Arial" w:cs="Arial"/>
                      <w:b/>
                      <w:color w:val="000000" w:themeColor="text1"/>
                      <w:sz w:val="22"/>
                      <w:szCs w:val="22"/>
                    </w:rPr>
                  </w:pPr>
                  <w:r>
                    <w:rPr>
                      <w:rFonts w:ascii="Arial" w:hAnsi="Arial" w:cs="Arial"/>
                      <w:b/>
                      <w:color w:val="000000" w:themeColor="text1"/>
                      <w:sz w:val="22"/>
                      <w:szCs w:val="22"/>
                    </w:rPr>
                    <w:t>C</w:t>
                  </w:r>
                </w:p>
                <w:p w14:paraId="6625854B" w14:textId="77777777" w:rsidR="00466B72" w:rsidRDefault="00466B72" w:rsidP="00466B72">
                  <w:pPr>
                    <w:rPr>
                      <w:rFonts w:ascii="Arial" w:hAnsi="Arial" w:cs="Arial"/>
                      <w:b/>
                      <w:color w:val="000000" w:themeColor="text1"/>
                      <w:sz w:val="22"/>
                      <w:szCs w:val="22"/>
                    </w:rPr>
                  </w:pPr>
                </w:p>
                <w:p w14:paraId="65917C70" w14:textId="2DD52C81" w:rsidR="00466B72" w:rsidRPr="00466B72" w:rsidRDefault="00466B72" w:rsidP="00466B72">
                  <w:pPr>
                    <w:rPr>
                      <w:rFonts w:ascii="Arial" w:hAnsi="Arial" w:cs="Arial"/>
                      <w:b/>
                      <w:color w:val="000000" w:themeColor="text1"/>
                      <w:sz w:val="22"/>
                      <w:szCs w:val="22"/>
                    </w:rPr>
                  </w:pPr>
                  <w:r w:rsidRPr="00466B72">
                    <w:rPr>
                      <w:rFonts w:ascii="Arial" w:hAnsi="Arial" w:cs="Arial"/>
                      <w:b/>
                      <w:noProof/>
                      <w:color w:val="000000" w:themeColor="text1"/>
                      <w:sz w:val="22"/>
                      <w:szCs w:val="22"/>
                      <w:lang w:val="de-CH" w:eastAsia="de-CH"/>
                    </w:rPr>
                    <w:lastRenderedPageBreak/>
                    <w:drawing>
                      <wp:inline distT="0" distB="0" distL="0" distR="0" wp14:anchorId="203F29B2" wp14:editId="3047F9B3">
                        <wp:extent cx="5784850" cy="2147138"/>
                        <wp:effectExtent l="0" t="0" r="6350" b="5715"/>
                        <wp:docPr id="5" name="Picture 5" descr="G:\ITN\NeuroCenter\Forschung\Clinical_Neurovirology_group\Torsten\2020_Hierweger_NatComm\EID_2nd_prep\Figure_2C.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ITN\NeuroCenter\Forschung\Clinical_Neurovirology_group\Torsten\2020_Hierweger_NatComm\EID_2nd_prep\Figure_2C.tif"/>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793041" cy="2150178"/>
                                </a:xfrm>
                                <a:prstGeom prst="rect">
                                  <a:avLst/>
                                </a:prstGeom>
                                <a:noFill/>
                                <a:ln>
                                  <a:noFill/>
                                </a:ln>
                              </pic:spPr>
                            </pic:pic>
                          </a:graphicData>
                        </a:graphic>
                      </wp:inline>
                    </w:drawing>
                  </w:r>
                </w:p>
              </w:tc>
            </w:tr>
          </w:tbl>
          <w:p w14:paraId="09E79DFD" w14:textId="77777777" w:rsidR="00A174CC" w:rsidRDefault="00A174CC">
            <w:pPr>
              <w:rPr>
                <w:rFonts w:ascii="Arial" w:hAnsi="Arial" w:cs="Arial"/>
                <w:color w:val="0000FF"/>
                <w:sz w:val="20"/>
              </w:rPr>
            </w:pPr>
          </w:p>
        </w:tc>
      </w:tr>
    </w:tbl>
    <w:p w14:paraId="33157153" w14:textId="6C5F16B6" w:rsidR="00466B72" w:rsidRDefault="00466B72" w:rsidP="00466B72">
      <w:pPr>
        <w:pStyle w:val="BodyTextIndent"/>
        <w:spacing w:before="120" w:after="120"/>
        <w:ind w:left="0" w:firstLine="0"/>
        <w:rPr>
          <w:rFonts w:ascii="Arial" w:hAnsi="Arial" w:cs="Arial"/>
          <w:color w:val="000000"/>
          <w:szCs w:val="24"/>
        </w:rPr>
      </w:pPr>
      <w:r>
        <w:rPr>
          <w:rFonts w:ascii="Arial" w:hAnsi="Arial" w:cs="Arial"/>
          <w:b/>
          <w:color w:val="000000"/>
          <w:szCs w:val="24"/>
        </w:rPr>
        <w:lastRenderedPageBreak/>
        <w:t xml:space="preserve">Figure: </w:t>
      </w:r>
      <w:r w:rsidRPr="00466B72">
        <w:rPr>
          <w:rFonts w:ascii="Arial" w:hAnsi="Arial" w:cs="Arial"/>
          <w:b/>
          <w:color w:val="000000"/>
          <w:szCs w:val="24"/>
        </w:rPr>
        <w:t>Three novel filoviruses in European perch</w:t>
      </w:r>
      <w:r>
        <w:rPr>
          <w:rFonts w:ascii="Arial" w:hAnsi="Arial" w:cs="Arial"/>
          <w:b/>
          <w:color w:val="000000"/>
          <w:szCs w:val="24"/>
        </w:rPr>
        <w:t xml:space="preserve">. </w:t>
      </w:r>
      <w:r w:rsidRPr="00466B72">
        <w:rPr>
          <w:rFonts w:ascii="Arial" w:hAnsi="Arial" w:cs="Arial"/>
          <w:color w:val="000000"/>
          <w:szCs w:val="24"/>
        </w:rPr>
        <w:t>A)</w:t>
      </w:r>
      <w:r w:rsidRPr="00466B72">
        <w:rPr>
          <w:rFonts w:ascii="Arial" w:hAnsi="Arial" w:cs="Arial"/>
          <w:b/>
          <w:color w:val="000000"/>
          <w:szCs w:val="24"/>
        </w:rPr>
        <w:t xml:space="preserve"> </w:t>
      </w:r>
      <w:r w:rsidRPr="00466B72">
        <w:rPr>
          <w:rFonts w:ascii="Arial" w:hAnsi="Arial" w:cs="Arial"/>
          <w:color w:val="000000"/>
          <w:szCs w:val="24"/>
        </w:rPr>
        <w:t>Schematic representation of the genome organization of Fiwi virus (FIWIV), Oberland virus (OBLV), and Kander virus (KNDV) compared to Huángjiāo virus (HUJV): Open reading frames (ORFs) are indicated as colored arrows. ORFs encoding HUJV-like proteins (indicated as percentages) are depicted by the same color. Undetermined ORF starts and ends are shown as stripes. NP, nucleoprotein gene; VP35, polymerase cofactor gene; GP, glycoprotein gene; VP30, transcriptional activator gene; L, large protein gene. B) A maximum likelihood phylogenetic tree of the new filovirus genome sequences (bold blue) using coding</w:t>
      </w:r>
      <w:r w:rsidR="00C5622B">
        <w:rPr>
          <w:rFonts w:ascii="Arial" w:hAnsi="Arial" w:cs="Arial"/>
          <w:color w:val="000000"/>
          <w:szCs w:val="24"/>
        </w:rPr>
        <w:t>-</w:t>
      </w:r>
      <w:r w:rsidRPr="00466B72">
        <w:rPr>
          <w:rFonts w:ascii="Arial" w:hAnsi="Arial" w:cs="Arial"/>
          <w:color w:val="000000"/>
          <w:szCs w:val="24"/>
        </w:rPr>
        <w:t xml:space="preserve">complete and near-complete genome sequences, or only C) L gene sequences, of representative members of the family </w:t>
      </w:r>
      <w:r w:rsidRPr="00196215">
        <w:rPr>
          <w:rFonts w:ascii="Arial" w:hAnsi="Arial" w:cs="Arial"/>
          <w:i/>
          <w:iCs/>
          <w:color w:val="000000"/>
          <w:szCs w:val="24"/>
        </w:rPr>
        <w:t>Filoviridae</w:t>
      </w:r>
      <w:r w:rsidRPr="00466B72">
        <w:rPr>
          <w:rFonts w:ascii="Arial" w:hAnsi="Arial" w:cs="Arial"/>
          <w:color w:val="000000"/>
          <w:szCs w:val="24"/>
        </w:rPr>
        <w:t>. Numbers near nodes on the trees indicate bootstrap values. Branches are labeled by GenBank accession number, virus name, and virus name abbreviation in parenthesis. The names of unclassified, likely filoviruses are placed in quotation marks and printed without name abbreviations. The scale (bottom left) indicates the number of substitutions per site, reflected by the branch lengths.</w:t>
      </w:r>
    </w:p>
    <w:p w14:paraId="083038E2" w14:textId="77777777" w:rsidR="00466B72" w:rsidRDefault="00466B72" w:rsidP="00466B72">
      <w:pPr>
        <w:pStyle w:val="BodyTextIndent"/>
        <w:spacing w:before="120" w:after="120"/>
        <w:ind w:left="0" w:firstLine="0"/>
        <w:rPr>
          <w:rFonts w:ascii="Arial" w:hAnsi="Arial" w:cs="Arial"/>
          <w:b/>
          <w:color w:val="000000"/>
          <w:szCs w:val="24"/>
        </w:rPr>
      </w:pPr>
    </w:p>
    <w:p w14:paraId="1DEFF7BD" w14:textId="19FFDF8F" w:rsidR="00466B72" w:rsidRDefault="00466B72" w:rsidP="00466B72">
      <w:pPr>
        <w:pStyle w:val="BodyTextIndent"/>
        <w:spacing w:before="120" w:after="120"/>
        <w:ind w:left="0" w:firstLine="0"/>
        <w:rPr>
          <w:rFonts w:ascii="Arial" w:hAnsi="Arial" w:cs="Arial"/>
          <w:b/>
          <w:color w:val="000000"/>
          <w:szCs w:val="24"/>
        </w:rPr>
      </w:pPr>
      <w:r w:rsidRPr="00466B72">
        <w:rPr>
          <w:rFonts w:ascii="Arial" w:hAnsi="Arial" w:cs="Arial"/>
          <w:b/>
          <w:color w:val="000000"/>
          <w:szCs w:val="24"/>
        </w:rPr>
        <w:t xml:space="preserve">Table </w:t>
      </w:r>
    </w:p>
    <w:p w14:paraId="0AE3194D" w14:textId="66C09B8F" w:rsidR="00466B72" w:rsidRPr="00466B72" w:rsidRDefault="00466B72" w:rsidP="00466B72">
      <w:pPr>
        <w:pStyle w:val="BodyTextIndent"/>
        <w:spacing w:before="120" w:after="120"/>
        <w:ind w:left="0" w:firstLine="0"/>
        <w:rPr>
          <w:rFonts w:ascii="Arial" w:hAnsi="Arial" w:cs="Arial"/>
          <w:color w:val="000000"/>
          <w:szCs w:val="24"/>
        </w:rPr>
      </w:pPr>
      <w:r w:rsidRPr="00466B72">
        <w:rPr>
          <w:rFonts w:ascii="Arial" w:hAnsi="Arial" w:cs="Arial"/>
          <w:color w:val="000000"/>
        </w:rPr>
        <w:t xml:space="preserve">Pairwise distances of complete or coding-complete genome nucleotide sequences between the newly identified Fiwi virus (FIWIV), Huángjiāo virus (HUJV), and the closest related mammalian filovirus, Bombali virus (BOMV, GenBank #MK340750). Kander virus (KNDV) and Oberland virus (OBLV) </w:t>
      </w:r>
      <w:r w:rsidR="00C5622B">
        <w:rPr>
          <w:rFonts w:ascii="Arial" w:hAnsi="Arial" w:cs="Arial"/>
          <w:color w:val="000000"/>
        </w:rPr>
        <w:t xml:space="preserve">near-complete </w:t>
      </w:r>
      <w:r w:rsidRPr="00466B72">
        <w:rPr>
          <w:rFonts w:ascii="Arial" w:hAnsi="Arial" w:cs="Arial"/>
          <w:color w:val="000000"/>
        </w:rPr>
        <w:t>sequences were compared based on the available sequences.</w:t>
      </w:r>
    </w:p>
    <w:tbl>
      <w:tblPr>
        <w:tblW w:w="7811" w:type="dxa"/>
        <w:tblBorders>
          <w:top w:val="single" w:sz="4" w:space="0" w:color="auto"/>
          <w:bottom w:val="single" w:sz="4" w:space="0" w:color="auto"/>
        </w:tblBorders>
        <w:tblLayout w:type="fixed"/>
        <w:tblLook w:val="04A0" w:firstRow="1" w:lastRow="0" w:firstColumn="1" w:lastColumn="0" w:noHBand="0" w:noVBand="1"/>
      </w:tblPr>
      <w:tblGrid>
        <w:gridCol w:w="1536"/>
        <w:gridCol w:w="1255"/>
        <w:gridCol w:w="1255"/>
        <w:gridCol w:w="1255"/>
        <w:gridCol w:w="1255"/>
        <w:gridCol w:w="1255"/>
      </w:tblGrid>
      <w:tr w:rsidR="00503F95" w:rsidRPr="00466B72" w14:paraId="3034064F" w14:textId="43E65C93" w:rsidTr="00503F95">
        <w:trPr>
          <w:trHeight w:val="712"/>
        </w:trPr>
        <w:tc>
          <w:tcPr>
            <w:tcW w:w="1536" w:type="dxa"/>
            <w:tcBorders>
              <w:top w:val="single" w:sz="4" w:space="0" w:color="auto"/>
              <w:bottom w:val="single" w:sz="4" w:space="0" w:color="auto"/>
            </w:tcBorders>
          </w:tcPr>
          <w:p w14:paraId="454E4F60"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 xml:space="preserve">Virus </w:t>
            </w:r>
          </w:p>
        </w:tc>
        <w:tc>
          <w:tcPr>
            <w:tcW w:w="1255" w:type="dxa"/>
            <w:tcBorders>
              <w:top w:val="single" w:sz="4" w:space="0" w:color="auto"/>
              <w:bottom w:val="single" w:sz="4" w:space="0" w:color="auto"/>
            </w:tcBorders>
          </w:tcPr>
          <w:p w14:paraId="6847FCC0"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FIWIV</w:t>
            </w:r>
          </w:p>
        </w:tc>
        <w:tc>
          <w:tcPr>
            <w:tcW w:w="1255" w:type="dxa"/>
            <w:tcBorders>
              <w:top w:val="single" w:sz="4" w:space="0" w:color="auto"/>
              <w:bottom w:val="single" w:sz="4" w:space="0" w:color="auto"/>
            </w:tcBorders>
          </w:tcPr>
          <w:p w14:paraId="2CB83AA7"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 xml:space="preserve">OBLV </w:t>
            </w:r>
          </w:p>
        </w:tc>
        <w:tc>
          <w:tcPr>
            <w:tcW w:w="1255" w:type="dxa"/>
            <w:tcBorders>
              <w:top w:val="single" w:sz="4" w:space="0" w:color="auto"/>
              <w:bottom w:val="single" w:sz="4" w:space="0" w:color="auto"/>
            </w:tcBorders>
          </w:tcPr>
          <w:p w14:paraId="32AED789"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KNDV</w:t>
            </w:r>
          </w:p>
        </w:tc>
        <w:tc>
          <w:tcPr>
            <w:tcW w:w="1255" w:type="dxa"/>
            <w:tcBorders>
              <w:top w:val="single" w:sz="4" w:space="0" w:color="auto"/>
              <w:bottom w:val="single" w:sz="4" w:space="0" w:color="auto"/>
            </w:tcBorders>
          </w:tcPr>
          <w:p w14:paraId="788F6574"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HUJV</w:t>
            </w:r>
          </w:p>
        </w:tc>
        <w:tc>
          <w:tcPr>
            <w:tcW w:w="1255" w:type="dxa"/>
            <w:tcBorders>
              <w:top w:val="single" w:sz="4" w:space="0" w:color="auto"/>
              <w:bottom w:val="single" w:sz="4" w:space="0" w:color="auto"/>
            </w:tcBorders>
          </w:tcPr>
          <w:p w14:paraId="777A41C6" w14:textId="77777777" w:rsidR="00503F95" w:rsidRPr="00466B72" w:rsidRDefault="00503F95" w:rsidP="00466B72">
            <w:pPr>
              <w:pStyle w:val="BodyTextIndent"/>
              <w:spacing w:before="120" w:after="120"/>
              <w:rPr>
                <w:rFonts w:ascii="Arial" w:hAnsi="Arial" w:cs="Arial"/>
                <w:b/>
                <w:color w:val="000000"/>
              </w:rPr>
            </w:pPr>
          </w:p>
        </w:tc>
      </w:tr>
      <w:tr w:rsidR="00503F95" w:rsidRPr="00466B72" w14:paraId="7DA413DE" w14:textId="283A48FC" w:rsidTr="00503F95">
        <w:trPr>
          <w:trHeight w:val="649"/>
        </w:trPr>
        <w:tc>
          <w:tcPr>
            <w:tcW w:w="1536" w:type="dxa"/>
          </w:tcPr>
          <w:p w14:paraId="56E2BF38"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OBLV</w:t>
            </w:r>
          </w:p>
        </w:tc>
        <w:tc>
          <w:tcPr>
            <w:tcW w:w="1255" w:type="dxa"/>
          </w:tcPr>
          <w:p w14:paraId="53CE9BDD"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66%</w:t>
            </w:r>
          </w:p>
        </w:tc>
        <w:tc>
          <w:tcPr>
            <w:tcW w:w="1255" w:type="dxa"/>
          </w:tcPr>
          <w:p w14:paraId="383E42EE" w14:textId="77777777" w:rsidR="00503F95" w:rsidRPr="00466B72" w:rsidRDefault="00503F95" w:rsidP="00466B72">
            <w:pPr>
              <w:pStyle w:val="BodyTextIndent"/>
              <w:spacing w:before="120" w:after="120"/>
              <w:rPr>
                <w:rFonts w:ascii="Arial" w:hAnsi="Arial" w:cs="Arial"/>
                <w:b/>
                <w:color w:val="000000"/>
              </w:rPr>
            </w:pPr>
          </w:p>
        </w:tc>
        <w:tc>
          <w:tcPr>
            <w:tcW w:w="1255" w:type="dxa"/>
          </w:tcPr>
          <w:p w14:paraId="479A6F8A" w14:textId="77777777" w:rsidR="00503F95" w:rsidRPr="00466B72" w:rsidRDefault="00503F95" w:rsidP="00466B72">
            <w:pPr>
              <w:pStyle w:val="BodyTextIndent"/>
              <w:spacing w:before="120" w:after="120"/>
              <w:rPr>
                <w:rFonts w:ascii="Arial" w:hAnsi="Arial" w:cs="Arial"/>
                <w:b/>
                <w:color w:val="000000"/>
              </w:rPr>
            </w:pPr>
          </w:p>
        </w:tc>
        <w:tc>
          <w:tcPr>
            <w:tcW w:w="1255" w:type="dxa"/>
          </w:tcPr>
          <w:p w14:paraId="0AB5DB20" w14:textId="77777777" w:rsidR="00503F95" w:rsidRPr="00466B72" w:rsidRDefault="00503F95" w:rsidP="00466B72">
            <w:pPr>
              <w:pStyle w:val="BodyTextIndent"/>
              <w:spacing w:before="120" w:after="120"/>
              <w:rPr>
                <w:rFonts w:ascii="Arial" w:hAnsi="Arial" w:cs="Arial"/>
                <w:b/>
                <w:color w:val="000000"/>
              </w:rPr>
            </w:pPr>
          </w:p>
        </w:tc>
        <w:tc>
          <w:tcPr>
            <w:tcW w:w="1255" w:type="dxa"/>
          </w:tcPr>
          <w:p w14:paraId="5F0EAF5B" w14:textId="77777777" w:rsidR="00503F95" w:rsidRPr="00466B72" w:rsidRDefault="00503F95" w:rsidP="00466B72">
            <w:pPr>
              <w:pStyle w:val="BodyTextIndent"/>
              <w:spacing w:before="120" w:after="120"/>
              <w:rPr>
                <w:rFonts w:ascii="Arial" w:hAnsi="Arial" w:cs="Arial"/>
                <w:b/>
                <w:color w:val="000000"/>
              </w:rPr>
            </w:pPr>
          </w:p>
        </w:tc>
      </w:tr>
      <w:tr w:rsidR="00503F95" w:rsidRPr="00466B72" w14:paraId="53AE2C0C" w14:textId="516A1EA8" w:rsidTr="00503F95">
        <w:trPr>
          <w:trHeight w:val="649"/>
        </w:trPr>
        <w:tc>
          <w:tcPr>
            <w:tcW w:w="1536" w:type="dxa"/>
          </w:tcPr>
          <w:p w14:paraId="1A9B2329"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 xml:space="preserve">KNDV </w:t>
            </w:r>
          </w:p>
        </w:tc>
        <w:tc>
          <w:tcPr>
            <w:tcW w:w="1255" w:type="dxa"/>
          </w:tcPr>
          <w:p w14:paraId="4CA0AAF2"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37%</w:t>
            </w:r>
          </w:p>
        </w:tc>
        <w:tc>
          <w:tcPr>
            <w:tcW w:w="1255" w:type="dxa"/>
          </w:tcPr>
          <w:p w14:paraId="4ACAD197"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62%</w:t>
            </w:r>
          </w:p>
        </w:tc>
        <w:tc>
          <w:tcPr>
            <w:tcW w:w="1255" w:type="dxa"/>
          </w:tcPr>
          <w:p w14:paraId="61D7793A" w14:textId="77777777" w:rsidR="00503F95" w:rsidRPr="00466B72" w:rsidRDefault="00503F95" w:rsidP="00466B72">
            <w:pPr>
              <w:pStyle w:val="BodyTextIndent"/>
              <w:spacing w:before="120" w:after="120"/>
              <w:rPr>
                <w:rFonts w:ascii="Arial" w:hAnsi="Arial" w:cs="Arial"/>
                <w:b/>
                <w:color w:val="000000"/>
              </w:rPr>
            </w:pPr>
          </w:p>
        </w:tc>
        <w:tc>
          <w:tcPr>
            <w:tcW w:w="1255" w:type="dxa"/>
          </w:tcPr>
          <w:p w14:paraId="22528B13" w14:textId="77777777" w:rsidR="00503F95" w:rsidRPr="00466B72" w:rsidRDefault="00503F95" w:rsidP="00466B72">
            <w:pPr>
              <w:pStyle w:val="BodyTextIndent"/>
              <w:spacing w:before="120" w:after="120"/>
              <w:rPr>
                <w:rFonts w:ascii="Arial" w:hAnsi="Arial" w:cs="Arial"/>
                <w:b/>
                <w:color w:val="000000"/>
              </w:rPr>
            </w:pPr>
          </w:p>
        </w:tc>
        <w:tc>
          <w:tcPr>
            <w:tcW w:w="1255" w:type="dxa"/>
          </w:tcPr>
          <w:p w14:paraId="6F2702BF" w14:textId="77777777" w:rsidR="00503F95" w:rsidRPr="00466B72" w:rsidRDefault="00503F95" w:rsidP="00466B72">
            <w:pPr>
              <w:pStyle w:val="BodyTextIndent"/>
              <w:spacing w:before="120" w:after="120"/>
              <w:rPr>
                <w:rFonts w:ascii="Arial" w:hAnsi="Arial" w:cs="Arial"/>
                <w:b/>
                <w:color w:val="000000"/>
              </w:rPr>
            </w:pPr>
          </w:p>
        </w:tc>
      </w:tr>
      <w:tr w:rsidR="00503F95" w:rsidRPr="00466B72" w14:paraId="15D01803" w14:textId="46A152EC" w:rsidTr="00503F95">
        <w:trPr>
          <w:trHeight w:val="649"/>
        </w:trPr>
        <w:tc>
          <w:tcPr>
            <w:tcW w:w="1536" w:type="dxa"/>
          </w:tcPr>
          <w:p w14:paraId="5BDCA186"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HUJV</w:t>
            </w:r>
          </w:p>
        </w:tc>
        <w:tc>
          <w:tcPr>
            <w:tcW w:w="1255" w:type="dxa"/>
          </w:tcPr>
          <w:p w14:paraId="3A2D715D"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49%</w:t>
            </w:r>
          </w:p>
        </w:tc>
        <w:tc>
          <w:tcPr>
            <w:tcW w:w="1255" w:type="dxa"/>
          </w:tcPr>
          <w:p w14:paraId="7C62D4E6"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64%</w:t>
            </w:r>
          </w:p>
        </w:tc>
        <w:tc>
          <w:tcPr>
            <w:tcW w:w="1255" w:type="dxa"/>
          </w:tcPr>
          <w:p w14:paraId="768E6CC5"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49%</w:t>
            </w:r>
          </w:p>
        </w:tc>
        <w:tc>
          <w:tcPr>
            <w:tcW w:w="1255" w:type="dxa"/>
          </w:tcPr>
          <w:p w14:paraId="50EFAD16" w14:textId="77777777" w:rsidR="00503F95" w:rsidRPr="00466B72" w:rsidRDefault="00503F95" w:rsidP="00466B72">
            <w:pPr>
              <w:pStyle w:val="BodyTextIndent"/>
              <w:spacing w:before="120" w:after="120"/>
              <w:rPr>
                <w:rFonts w:ascii="Arial" w:hAnsi="Arial" w:cs="Arial"/>
                <w:b/>
                <w:color w:val="000000"/>
              </w:rPr>
            </w:pPr>
          </w:p>
        </w:tc>
        <w:tc>
          <w:tcPr>
            <w:tcW w:w="1255" w:type="dxa"/>
          </w:tcPr>
          <w:p w14:paraId="35F6F330" w14:textId="77777777" w:rsidR="00503F95" w:rsidRPr="00466B72" w:rsidRDefault="00503F95" w:rsidP="00466B72">
            <w:pPr>
              <w:pStyle w:val="BodyTextIndent"/>
              <w:spacing w:before="120" w:after="120"/>
              <w:rPr>
                <w:rFonts w:ascii="Arial" w:hAnsi="Arial" w:cs="Arial"/>
                <w:b/>
                <w:color w:val="000000"/>
              </w:rPr>
            </w:pPr>
          </w:p>
        </w:tc>
      </w:tr>
      <w:tr w:rsidR="00503F95" w:rsidRPr="00466B72" w14:paraId="7B617F25" w14:textId="5DDC4EE7" w:rsidTr="00503F95">
        <w:trPr>
          <w:trHeight w:val="649"/>
        </w:trPr>
        <w:tc>
          <w:tcPr>
            <w:tcW w:w="1536" w:type="dxa"/>
          </w:tcPr>
          <w:p w14:paraId="6B35D798"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BOMV</w:t>
            </w:r>
          </w:p>
        </w:tc>
        <w:tc>
          <w:tcPr>
            <w:tcW w:w="1255" w:type="dxa"/>
          </w:tcPr>
          <w:p w14:paraId="0B9CDE61"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86%</w:t>
            </w:r>
          </w:p>
        </w:tc>
        <w:tc>
          <w:tcPr>
            <w:tcW w:w="1255" w:type="dxa"/>
          </w:tcPr>
          <w:p w14:paraId="1C0BE1F8"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87%</w:t>
            </w:r>
          </w:p>
        </w:tc>
        <w:tc>
          <w:tcPr>
            <w:tcW w:w="1255" w:type="dxa"/>
          </w:tcPr>
          <w:p w14:paraId="0EE89973"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87%</w:t>
            </w:r>
          </w:p>
        </w:tc>
        <w:tc>
          <w:tcPr>
            <w:tcW w:w="1255" w:type="dxa"/>
          </w:tcPr>
          <w:p w14:paraId="0C5386A7" w14:textId="77777777" w:rsidR="00503F95" w:rsidRPr="00466B72" w:rsidRDefault="00503F95" w:rsidP="00466B72">
            <w:pPr>
              <w:pStyle w:val="BodyTextIndent"/>
              <w:spacing w:before="120" w:after="120"/>
              <w:rPr>
                <w:rFonts w:ascii="Arial" w:hAnsi="Arial" w:cs="Arial"/>
                <w:b/>
                <w:color w:val="000000"/>
              </w:rPr>
            </w:pPr>
            <w:r w:rsidRPr="00466B72">
              <w:rPr>
                <w:rFonts w:ascii="Arial" w:hAnsi="Arial" w:cs="Arial"/>
                <w:b/>
                <w:color w:val="000000"/>
              </w:rPr>
              <w:t>86%</w:t>
            </w:r>
          </w:p>
        </w:tc>
        <w:tc>
          <w:tcPr>
            <w:tcW w:w="1255" w:type="dxa"/>
          </w:tcPr>
          <w:p w14:paraId="67CBE548" w14:textId="77777777" w:rsidR="00503F95" w:rsidRPr="00466B72" w:rsidRDefault="00503F95" w:rsidP="00466B72">
            <w:pPr>
              <w:pStyle w:val="BodyTextIndent"/>
              <w:spacing w:before="120" w:after="120"/>
              <w:rPr>
                <w:rFonts w:ascii="Arial" w:hAnsi="Arial" w:cs="Arial"/>
                <w:b/>
                <w:color w:val="000000"/>
              </w:rPr>
            </w:pPr>
          </w:p>
        </w:tc>
      </w:tr>
    </w:tbl>
    <w:p w14:paraId="5374E9DF" w14:textId="306D1AEC" w:rsidR="00D277E6" w:rsidRPr="00FB7B91" w:rsidRDefault="00D277E6" w:rsidP="00196215">
      <w:pPr>
        <w:pStyle w:val="BodyTextIndent"/>
        <w:spacing w:before="120" w:after="120"/>
        <w:ind w:left="0" w:firstLine="0"/>
        <w:rPr>
          <w:rFonts w:ascii="Arial" w:hAnsi="Arial" w:cs="Arial"/>
          <w:sz w:val="22"/>
          <w:szCs w:val="22"/>
          <w:lang w:val="en-GB"/>
        </w:rPr>
      </w:pPr>
    </w:p>
    <w:sectPr w:rsidR="00D277E6" w:rsidRPr="00FB7B91">
      <w:headerReference w:type="default" r:id="rId20"/>
      <w:pgSz w:w="11906" w:h="16838"/>
      <w:pgMar w:top="1440" w:right="1440" w:bottom="1440" w:left="1440" w:header="708"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FE6E51" w14:textId="77777777" w:rsidR="006B037A" w:rsidRDefault="006B037A">
      <w:r>
        <w:separator/>
      </w:r>
    </w:p>
  </w:endnote>
  <w:endnote w:type="continuationSeparator" w:id="0">
    <w:p w14:paraId="295088CA" w14:textId="77777777" w:rsidR="006B037A" w:rsidRDefault="006B0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panose1 w:val="00000500000000020000"/>
    <w:charset w:val="00"/>
    <w:family w:val="auto"/>
    <w:pitch w:val="variable"/>
    <w:sig w:usb0="E00002FF" w:usb1="5000205A" w:usb2="00000000" w:usb3="00000000" w:csb0="0000019F" w:csb1="00000000"/>
  </w:font>
  <w:font w:name="Liberation Sans">
    <w:altName w:val="Arial"/>
    <w:panose1 w:val="020B0604020202020204"/>
    <w:charset w:val="01"/>
    <w:family w:val="swiss"/>
    <w:pitch w:val="variable"/>
  </w:font>
  <w:font w:name="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E937F1" w14:textId="77777777" w:rsidR="006B037A" w:rsidRDefault="006B037A">
      <w:r>
        <w:separator/>
      </w:r>
    </w:p>
  </w:footnote>
  <w:footnote w:type="continuationSeparator" w:id="0">
    <w:p w14:paraId="71193C99" w14:textId="77777777" w:rsidR="006B037A" w:rsidRDefault="006B03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EB404" w14:textId="72ADFE9C" w:rsidR="00A174CC" w:rsidRDefault="00196215">
    <w:pPr>
      <w:pStyle w:val="Header"/>
      <w:jc w:val="right"/>
    </w:pPr>
    <w:r>
      <w:t>October</w:t>
    </w:r>
    <w:r w:rsidR="00503F95">
      <w:t xml:space="preserve"> 202</w:t>
    </w:r>
    <w:r>
      <w:t>0</w:t>
    </w:r>
  </w:p>
  <w:p w14:paraId="798CCB4D" w14:textId="77777777" w:rsidR="00A174CC" w:rsidRDefault="00A174C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337ABC"/>
    <w:multiLevelType w:val="hybridMultilevel"/>
    <w:tmpl w:val="AA2606A8"/>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 w15:restartNumberingAfterBreak="0">
    <w:nsid w:val="45895761"/>
    <w:multiLevelType w:val="multilevel"/>
    <w:tmpl w:val="B7608EB2"/>
    <w:lvl w:ilvl="0">
      <w:start w:val="1"/>
      <w:numFmt w:val="bullet"/>
      <w:lvlText w:val=""/>
      <w:lvlJc w:val="left"/>
      <w:pPr>
        <w:ind w:left="360" w:hanging="360"/>
      </w:pPr>
      <w:rPr>
        <w:rFonts w:ascii="Symbol" w:hAnsi="Symbol" w:cs="Symbol" w:hint="default"/>
      </w:rPr>
    </w:lvl>
    <w:lvl w:ilvl="1">
      <w:start w:val="1"/>
      <w:numFmt w:val="bullet"/>
      <w:lvlText w:val="o"/>
      <w:lvlJc w:val="left"/>
      <w:pPr>
        <w:ind w:left="1080" w:hanging="360"/>
      </w:pPr>
      <w:rPr>
        <w:rFonts w:ascii="Courier New" w:hAnsi="Courier New" w:cs="Courier New" w:hint="default"/>
        <w:sz w:val="20"/>
      </w:rPr>
    </w:lvl>
    <w:lvl w:ilvl="2">
      <w:start w:val="1"/>
      <w:numFmt w:val="bullet"/>
      <w:lvlText w:val=""/>
      <w:lvlJc w:val="left"/>
      <w:pPr>
        <w:ind w:left="1800" w:hanging="360"/>
      </w:pPr>
      <w:rPr>
        <w:rFonts w:ascii="Wingdings" w:hAnsi="Wingdings" w:cs="Wingdings" w:hint="default"/>
      </w:rPr>
    </w:lvl>
    <w:lvl w:ilvl="3">
      <w:start w:val="1"/>
      <w:numFmt w:val="bullet"/>
      <w:lvlText w:val=""/>
      <w:lvlJc w:val="left"/>
      <w:pPr>
        <w:ind w:left="2520" w:hanging="360"/>
      </w:pPr>
      <w:rPr>
        <w:rFonts w:ascii="Symbol" w:hAnsi="Symbol" w:cs="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cs="Wingdings" w:hint="default"/>
      </w:rPr>
    </w:lvl>
    <w:lvl w:ilvl="6">
      <w:start w:val="1"/>
      <w:numFmt w:val="bullet"/>
      <w:lvlText w:val=""/>
      <w:lvlJc w:val="left"/>
      <w:pPr>
        <w:ind w:left="4680" w:hanging="360"/>
      </w:pPr>
      <w:rPr>
        <w:rFonts w:ascii="Symbol" w:hAnsi="Symbol" w:cs="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cs="Wingdings" w:hint="default"/>
      </w:rPr>
    </w:lvl>
  </w:abstractNum>
  <w:abstractNum w:abstractNumId="2" w15:restartNumberingAfterBreak="0">
    <w:nsid w:val="574F272A"/>
    <w:multiLevelType w:val="hybridMultilevel"/>
    <w:tmpl w:val="EF285A9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 w15:restartNumberingAfterBreak="0">
    <w:nsid w:val="5F4352B1"/>
    <w:multiLevelType w:val="hybridMultilevel"/>
    <w:tmpl w:val="3C2CCFEA"/>
    <w:lvl w:ilvl="0" w:tplc="0724627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59410F9"/>
    <w:multiLevelType w:val="multilevel"/>
    <w:tmpl w:val="B18CCFB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5" w15:restartNumberingAfterBreak="0">
    <w:nsid w:val="773C04C3"/>
    <w:multiLevelType w:val="hybridMultilevel"/>
    <w:tmpl w:val="6180003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
  </w:num>
  <w:num w:numId="2">
    <w:abstractNumId w:val="4"/>
  </w:num>
  <w:num w:numId="3">
    <w:abstractNumId w:val="3"/>
  </w:num>
  <w:num w:numId="4">
    <w:abstractNumId w:val="2"/>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1"/>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4CC"/>
    <w:rsid w:val="00022E32"/>
    <w:rsid w:val="00055B6F"/>
    <w:rsid w:val="00093889"/>
    <w:rsid w:val="00144494"/>
    <w:rsid w:val="00146EE8"/>
    <w:rsid w:val="00196215"/>
    <w:rsid w:val="001E2866"/>
    <w:rsid w:val="001F72BE"/>
    <w:rsid w:val="0025317A"/>
    <w:rsid w:val="002551DA"/>
    <w:rsid w:val="003B04C8"/>
    <w:rsid w:val="003C65DB"/>
    <w:rsid w:val="003F6340"/>
    <w:rsid w:val="004003A0"/>
    <w:rsid w:val="0040445E"/>
    <w:rsid w:val="0043110C"/>
    <w:rsid w:val="00454F70"/>
    <w:rsid w:val="00466B72"/>
    <w:rsid w:val="004E6655"/>
    <w:rsid w:val="00500E83"/>
    <w:rsid w:val="00503F95"/>
    <w:rsid w:val="005061FD"/>
    <w:rsid w:val="00543F86"/>
    <w:rsid w:val="00554C58"/>
    <w:rsid w:val="005A54C3"/>
    <w:rsid w:val="00610F04"/>
    <w:rsid w:val="0065784F"/>
    <w:rsid w:val="006A5133"/>
    <w:rsid w:val="006B037A"/>
    <w:rsid w:val="006C1BA3"/>
    <w:rsid w:val="006E31BC"/>
    <w:rsid w:val="00716D81"/>
    <w:rsid w:val="00735B17"/>
    <w:rsid w:val="00744887"/>
    <w:rsid w:val="00755B25"/>
    <w:rsid w:val="007D10E4"/>
    <w:rsid w:val="007E6459"/>
    <w:rsid w:val="008815EE"/>
    <w:rsid w:val="008B409A"/>
    <w:rsid w:val="00944BE1"/>
    <w:rsid w:val="00954271"/>
    <w:rsid w:val="009930C5"/>
    <w:rsid w:val="009C6F7D"/>
    <w:rsid w:val="00A174CC"/>
    <w:rsid w:val="00A61587"/>
    <w:rsid w:val="00AA70CA"/>
    <w:rsid w:val="00AB41A6"/>
    <w:rsid w:val="00AD25DE"/>
    <w:rsid w:val="00B01CC0"/>
    <w:rsid w:val="00B0485E"/>
    <w:rsid w:val="00B104E9"/>
    <w:rsid w:val="00B31F00"/>
    <w:rsid w:val="00BB17B4"/>
    <w:rsid w:val="00BC2E06"/>
    <w:rsid w:val="00BD4F39"/>
    <w:rsid w:val="00C5622B"/>
    <w:rsid w:val="00C572E0"/>
    <w:rsid w:val="00C71F92"/>
    <w:rsid w:val="00C97781"/>
    <w:rsid w:val="00CF102F"/>
    <w:rsid w:val="00CF3AD1"/>
    <w:rsid w:val="00D068B3"/>
    <w:rsid w:val="00D14318"/>
    <w:rsid w:val="00D211D6"/>
    <w:rsid w:val="00D277E6"/>
    <w:rsid w:val="00D35908"/>
    <w:rsid w:val="00D573CA"/>
    <w:rsid w:val="00E14752"/>
    <w:rsid w:val="00F07D24"/>
    <w:rsid w:val="00FB1866"/>
    <w:rsid w:val="00FB7B91"/>
  </w:rsids>
  <m:mathPr>
    <m:mathFont m:val="Cambria Math"/>
    <m:brkBin m:val="before"/>
    <m:brkBinSub m:val="--"/>
    <m:smallFrac m:val="0"/>
    <m:dispDef/>
    <m:lMargin m:val="0"/>
    <m:rMargin m:val="0"/>
    <m:defJc m:val="centerGroup"/>
    <m:wrapIndent m:val="1440"/>
    <m:intLim m:val="subSup"/>
    <m:naryLim m:val="undOvr"/>
  </m:mathPr>
  <w:themeFontLang w:val="en-GB"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D578D2"/>
  <w15:docId w15:val="{E5A7C67D-C67A-514A-969E-A3FDEE91B4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basedOn w:val="DefaultParagraphFont"/>
    <w:uiPriority w:val="99"/>
    <w:unhideWhenUsed/>
    <w:rsid w:val="00554C58"/>
    <w:rPr>
      <w:color w:val="0563C1"/>
      <w:u w:val="single"/>
    </w:rPr>
  </w:style>
  <w:style w:type="character" w:customStyle="1" w:styleId="UnresolvedMention1">
    <w:name w:val="Unresolved Mention1"/>
    <w:basedOn w:val="DefaultParagraphFont"/>
    <w:uiPriority w:val="99"/>
    <w:rsid w:val="00610F04"/>
    <w:rPr>
      <w:color w:val="605E5C"/>
      <w:shd w:val="clear" w:color="auto" w:fill="E1DFDD"/>
    </w:rPr>
  </w:style>
  <w:style w:type="character" w:styleId="FollowedHyperlink">
    <w:name w:val="FollowedHyperlink"/>
    <w:basedOn w:val="DefaultParagraphFont"/>
    <w:uiPriority w:val="99"/>
    <w:semiHidden/>
    <w:unhideWhenUsed/>
    <w:rsid w:val="00610F04"/>
    <w:rPr>
      <w:color w:val="954F72" w:themeColor="followedHyperlink"/>
      <w:u w:val="single"/>
    </w:rPr>
  </w:style>
  <w:style w:type="paragraph" w:styleId="CommentSubject">
    <w:name w:val="annotation subject"/>
    <w:basedOn w:val="CommentText"/>
    <w:next w:val="CommentText"/>
    <w:link w:val="CommentSubjectChar"/>
    <w:uiPriority w:val="99"/>
    <w:semiHidden/>
    <w:unhideWhenUsed/>
    <w:rsid w:val="003B04C8"/>
    <w:rPr>
      <w:b/>
      <w:bCs/>
    </w:rPr>
  </w:style>
  <w:style w:type="character" w:customStyle="1" w:styleId="CommentSubjectChar">
    <w:name w:val="Comment Subject Char"/>
    <w:basedOn w:val="CommentTextChar"/>
    <w:link w:val="CommentSubject"/>
    <w:uiPriority w:val="99"/>
    <w:semiHidden/>
    <w:rsid w:val="003B04C8"/>
    <w:rPr>
      <w:rFonts w:ascii="Times New Roman" w:eastAsia="Times New Roman" w:hAnsi="Times New Roman" w:cs="Times New Roman"/>
      <w:b/>
      <w:bCs/>
      <w:sz w:val="20"/>
      <w:szCs w:val="20"/>
      <w:lang w:val="en-US"/>
    </w:rPr>
  </w:style>
  <w:style w:type="paragraph" w:styleId="ListParagraph">
    <w:name w:val="List Paragraph"/>
    <w:basedOn w:val="Normal"/>
    <w:uiPriority w:val="34"/>
    <w:qFormat/>
    <w:rsid w:val="0040445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568971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melanie.hierweger@vetsuisse.unibe.ch" TargetMode="External"/><Relationship Id="rId13" Type="http://schemas.openxmlformats.org/officeDocument/2006/relationships/hyperlink" Target="mailto:remy.bruggmann@bioinformatics.unibe.ch" TargetMode="External"/><Relationship Id="rId18" Type="http://schemas.openxmlformats.org/officeDocument/2006/relationships/image" Target="media/image3.tif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nicholasdipaola@gmail.com" TargetMode="External"/><Relationship Id="rId17" Type="http://schemas.openxmlformats.org/officeDocument/2006/relationships/image" Target="media/image2.tiff"/><Relationship Id="rId2" Type="http://schemas.openxmlformats.org/officeDocument/2006/relationships/styles" Target="styles.xml"/><Relationship Id="rId16" Type="http://schemas.openxmlformats.org/officeDocument/2006/relationships/hyperlink" Target="mailto:torsten.seuberlich@vetsuisse.unibe.ch" TargetMode="External"/><Relationship Id="rId20"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iet.maes@kuleuven.be" TargetMode="External"/><Relationship Id="rId5" Type="http://schemas.openxmlformats.org/officeDocument/2006/relationships/footnotes" Target="footnotes.xml"/><Relationship Id="rId15" Type="http://schemas.openxmlformats.org/officeDocument/2006/relationships/hyperlink" Target="mailto:heike.schmidt@vetsuisse.unibe.ch" TargetMode="External"/><Relationship Id="rId10" Type="http://schemas.openxmlformats.org/officeDocument/2006/relationships/hyperlink" Target="mailto:rupp@fishdoc.ch" TargetMode="External"/><Relationship Id="rId19" Type="http://schemas.openxmlformats.org/officeDocument/2006/relationships/image" Target="media/image4.tiff"/><Relationship Id="rId4" Type="http://schemas.openxmlformats.org/officeDocument/2006/relationships/webSettings" Target="webSettings.xml"/><Relationship Id="rId9" Type="http://schemas.openxmlformats.org/officeDocument/2006/relationships/hyperlink" Target="mailto:michel.koch@vetsuisse.unibe.ch" TargetMode="External"/><Relationship Id="rId14" Type="http://schemas.openxmlformats.org/officeDocument/2006/relationships/hyperlink" Target="mailto:kuhnjens@mail.nih.gov"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1030</Words>
  <Characters>5873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dc:description/>
  <cp:lastModifiedBy>Peter Walker</cp:lastModifiedBy>
  <cp:revision>7</cp:revision>
  <dcterms:created xsi:type="dcterms:W3CDTF">2021-05-27T06:51:00Z</dcterms:created>
  <dcterms:modified xsi:type="dcterms:W3CDTF">2022-03-13T03:18:00Z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